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5AE4" w:rsidRDefault="00CD0FF7">
      <w:pPr>
        <w:jc w:val="center"/>
      </w:pPr>
      <w:bookmarkStart w:id="0" w:name="_GoBack"/>
      <w:bookmarkEnd w:id="0"/>
      <w:r>
        <w:rPr>
          <w:noProof/>
        </w:rPr>
        <w:drawing>
          <wp:anchor distT="0" distB="0" distL="0" distR="0" simplePos="0" relativeHeight="27" behindDoc="0" locked="0" layoutInCell="0" allowOverlap="1">
            <wp:simplePos x="0" y="0"/>
            <wp:positionH relativeFrom="page">
              <wp:posOffset>360045</wp:posOffset>
            </wp:positionH>
            <wp:positionV relativeFrom="page">
              <wp:posOffset>360045</wp:posOffset>
            </wp:positionV>
            <wp:extent cx="3110865" cy="252095"/>
            <wp:effectExtent l="0" t="0" r="0" b="0"/>
            <wp:wrapNone/>
            <wp:docPr id="1" name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0865" cy="2520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Расчет прогноза доходов, администрируемых министерством промышленности, торговли и развития предпринимательства Новосибирской области на 2026 год и плановый период 2027 и 2028 годов</w:t>
      </w:r>
    </w:p>
    <w:p w:rsidR="000C5AE4" w:rsidRDefault="000C5AE4">
      <w:pPr>
        <w:jc w:val="center"/>
      </w:pPr>
    </w:p>
    <w:p w:rsidR="000C5AE4" w:rsidRDefault="000C5AE4">
      <w:pPr>
        <w:jc w:val="center"/>
      </w:pPr>
    </w:p>
    <w:p w:rsidR="000C5AE4" w:rsidRDefault="00CD0FF7">
      <w:pPr>
        <w:ind w:firstLine="709"/>
        <w:jc w:val="both"/>
      </w:pPr>
      <w:r>
        <w:t xml:space="preserve">Расчет прогноза доходов, администрируемых министерством </w:t>
      </w:r>
      <w:r>
        <w:t>промышленности, торговли и развития предпринимательства Новосибирской области (далее – Министерство), производится согласно Методике прогнозирования поступлений доходов в областной бюджет Новосибирской области, администрируемых Министерством при осуществле</w:t>
      </w:r>
      <w:r>
        <w:t>нии бюджетных полномочий главного администратора доходов областного бюджета Новосибирской области, утвержденной приказом Минпромторга НСО от 10.06.2022 № 185.</w:t>
      </w:r>
    </w:p>
    <w:p w:rsidR="000C5AE4" w:rsidRDefault="00CD0FF7">
      <w:pPr>
        <w:numPr>
          <w:ilvl w:val="0"/>
          <w:numId w:val="3"/>
        </w:numPr>
        <w:ind w:left="0" w:firstLine="709"/>
        <w:contextualSpacing/>
        <w:jc w:val="both"/>
        <w:rPr>
          <w:szCs w:val="28"/>
        </w:rPr>
      </w:pPr>
      <w:r>
        <w:t>Расчет прогноза поступления доходов по КБК 026 1 08 07082 01 1000 110 «Государственная пошлина за</w:t>
      </w:r>
      <w:r>
        <w:t xml:space="preserve"> совершение действий, связанных с лицензированием, с проведением аттестации в случаях, если такая аттестация предусмотрена законодательством Российской Федерации, зачисляемая в бюджеты субъектов Российской Федерации» </w:t>
      </w:r>
      <w:r>
        <w:rPr>
          <w:szCs w:val="28"/>
        </w:rPr>
        <w:t>осуществляется с применением метода пря</w:t>
      </w:r>
      <w:r>
        <w:rPr>
          <w:szCs w:val="28"/>
        </w:rPr>
        <w:t>мого расчета по следующей формуле:</w:t>
      </w:r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Дгп</w:t>
      </w:r>
      <w:proofErr w:type="spellEnd"/>
      <w:r>
        <w:rPr>
          <w:szCs w:val="28"/>
        </w:rPr>
        <w:t xml:space="preserve"> = </w:t>
      </w:r>
      <w:proofErr w:type="spellStart"/>
      <w:r>
        <w:rPr>
          <w:szCs w:val="28"/>
        </w:rPr>
        <w:t>Дгпм</w:t>
      </w:r>
      <w:proofErr w:type="spellEnd"/>
      <w:r>
        <w:rPr>
          <w:szCs w:val="28"/>
        </w:rPr>
        <w:t xml:space="preserve"> + </w:t>
      </w:r>
      <w:proofErr w:type="spellStart"/>
      <w:r>
        <w:rPr>
          <w:szCs w:val="28"/>
        </w:rPr>
        <w:t>Дгпа</w:t>
      </w:r>
      <w:proofErr w:type="spellEnd"/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где:</w:t>
      </w:r>
    </w:p>
    <w:p w:rsidR="000C5AE4" w:rsidRDefault="00CD0FF7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Дгпм</w:t>
      </w:r>
      <w:proofErr w:type="spellEnd"/>
      <w:r>
        <w:rPr>
          <w:szCs w:val="28"/>
        </w:rPr>
        <w:t xml:space="preserve"> - доходы от государственной пошлины за лицензирование заготовки, хранения, переработки и реализации лома черных металлов, цветных металлов;</w:t>
      </w:r>
    </w:p>
    <w:p w:rsidR="000C5AE4" w:rsidRDefault="00CD0FF7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Дгпа</w:t>
      </w:r>
      <w:proofErr w:type="spellEnd"/>
      <w:r>
        <w:rPr>
          <w:szCs w:val="28"/>
        </w:rPr>
        <w:t xml:space="preserve"> – доходы от государственной пошлины за лицензи</w:t>
      </w:r>
      <w:r>
        <w:rPr>
          <w:szCs w:val="28"/>
        </w:rPr>
        <w:t>рование розничной продажи алкогольной продукции.</w:t>
      </w:r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jc w:val="center"/>
        <w:rPr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Дгпм=</m:t>
          </m:r>
        </m:oMath>
      </m:oMathPara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 xml:space="preserve">где: 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  <w:lang w:val="en-US"/>
        </w:rPr>
        <w:t>k</w:t>
      </w:r>
      <w:r>
        <w:rPr>
          <w:szCs w:val="28"/>
        </w:rPr>
        <w:t xml:space="preserve"> – количество отчетных периодов (не менее трех лет, предшествующих соответствующему периоду); </w:t>
      </w:r>
    </w:p>
    <w:p w:rsidR="000C5AE4" w:rsidRDefault="00CD0FF7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Умв</w:t>
      </w:r>
      <w:r>
        <w:rPr>
          <w:szCs w:val="28"/>
          <w:lang w:val="en-US"/>
        </w:rPr>
        <w:t>i</w:t>
      </w:r>
      <w:proofErr w:type="spellEnd"/>
      <w:r>
        <w:rPr>
          <w:szCs w:val="28"/>
        </w:rPr>
        <w:t xml:space="preserve"> –количество услуг по выдаче лицензий на заготовку, хранение, переработку и реализацию лома ч</w:t>
      </w:r>
      <w:r>
        <w:rPr>
          <w:szCs w:val="28"/>
        </w:rPr>
        <w:t xml:space="preserve">ерных металлов, цветных металлов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Умп</w:t>
      </w:r>
      <w:r>
        <w:rPr>
          <w:szCs w:val="28"/>
          <w:lang w:val="en-US"/>
        </w:rPr>
        <w:t>i</w:t>
      </w:r>
      <w:proofErr w:type="spellEnd"/>
      <w:r>
        <w:rPr>
          <w:szCs w:val="28"/>
        </w:rPr>
        <w:t xml:space="preserve"> –количество услуг по переоформлению лицензий на заготовку, хранение, переработку и реализацию лома черных металлов, цветных металлов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  <w:lang w:val="en-US"/>
        </w:rPr>
        <w:t>a</w:t>
      </w:r>
      <w:r>
        <w:rPr>
          <w:szCs w:val="28"/>
        </w:rPr>
        <w:t xml:space="preserve"> – величина государственной пошлины за выдачу лицензий</w:t>
      </w:r>
      <w:r>
        <w:rPr>
          <w:szCs w:val="28"/>
        </w:rPr>
        <w:t xml:space="preserve"> на заготовку, хранение, переработку и реализацию лома черных металлов, цветных металлов, утвержденная НК РФ на прогнозируемый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  <w:lang w:val="en-US"/>
        </w:rPr>
        <w:t>b</w:t>
      </w:r>
      <w:r>
        <w:rPr>
          <w:szCs w:val="28"/>
        </w:rPr>
        <w:t xml:space="preserve"> – величина государственной пошлины за переоформление лицензий на заготовку, хранение, переработку и реализацию лома чер</w:t>
      </w:r>
      <w:r>
        <w:rPr>
          <w:szCs w:val="28"/>
        </w:rPr>
        <w:t>ных металлов, цветных металлов, утвержденная НК РФ на прогнозируемый период.</w:t>
      </w:r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jc w:val="center"/>
        <w:rPr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Дгпа=</m:t>
          </m:r>
        </m:oMath>
      </m:oMathPara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 xml:space="preserve">где: 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  <w:lang w:val="en-US"/>
        </w:rPr>
        <w:t>k</w:t>
      </w:r>
      <w:r>
        <w:rPr>
          <w:szCs w:val="28"/>
        </w:rPr>
        <w:t xml:space="preserve"> – количество отчетных периодов (не менее трех лет, предшествующих соответствующему периоду); </w:t>
      </w:r>
    </w:p>
    <w:p w:rsidR="000C5AE4" w:rsidRDefault="00CD0FF7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Уав</w:t>
      </w:r>
      <w:r>
        <w:rPr>
          <w:szCs w:val="28"/>
          <w:lang w:val="en-US"/>
        </w:rPr>
        <w:t>i</w:t>
      </w:r>
      <w:proofErr w:type="spellEnd"/>
      <w:r>
        <w:rPr>
          <w:szCs w:val="28"/>
        </w:rPr>
        <w:t xml:space="preserve"> –количество услуг по выдаче лицензий на розничную продажу алкого</w:t>
      </w:r>
      <w:r>
        <w:rPr>
          <w:szCs w:val="28"/>
        </w:rPr>
        <w:t xml:space="preserve">льной продукции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Уап</w:t>
      </w:r>
      <w:r>
        <w:rPr>
          <w:szCs w:val="28"/>
          <w:lang w:val="en-US"/>
        </w:rPr>
        <w:t>i</w:t>
      </w:r>
      <w:proofErr w:type="spellEnd"/>
      <w:r>
        <w:rPr>
          <w:szCs w:val="28"/>
        </w:rPr>
        <w:t xml:space="preserve"> –количество услуг по переоформлению лицензий на розничную продажу алкогольной продукции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 xml:space="preserve">с – величина государственной пошлины за выдачу лицензий на розничную продажу алкогольной продукции, утвержденная НК </w:t>
      </w:r>
      <w:r>
        <w:rPr>
          <w:szCs w:val="28"/>
        </w:rPr>
        <w:t>РФ на прогнозируемый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  <w:lang w:val="en-US"/>
        </w:rPr>
        <w:t>d</w:t>
      </w:r>
      <w:r>
        <w:rPr>
          <w:szCs w:val="28"/>
        </w:rPr>
        <w:t xml:space="preserve"> – величина государственной пошлины за переоформление лицензий на розничную продажу алкогольной продукции, утвержденная НК РФ на прогнозируемый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  <w:lang w:val="en-US"/>
        </w:rPr>
        <w:t>L</w:t>
      </w:r>
      <w:r>
        <w:rPr>
          <w:szCs w:val="28"/>
        </w:rPr>
        <w:t>ср – средний корректирующий коэффициент, уточняющий количество услуг в за</w:t>
      </w:r>
      <w:r>
        <w:rPr>
          <w:szCs w:val="28"/>
        </w:rPr>
        <w:t xml:space="preserve">висимости от количества лет, на которые были выданы лицензии на розничную продажу алкогольной продукции. В соответствии с НК РФ государственная пошлина за предоставление лицензии на розничную продажу алкогольной продукции оплачивается из расчета за каждый </w:t>
      </w:r>
      <w:r>
        <w:rPr>
          <w:szCs w:val="28"/>
        </w:rPr>
        <w:t>год действия лицензии (но не более 5 лет).</w:t>
      </w:r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jc w:val="center"/>
        <w:rPr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L</m:t>
          </m:r>
          <m:r>
            <w:rPr>
              <w:rFonts w:ascii="Cambria Math" w:hAnsi="Cambria Math"/>
            </w:rPr>
            <m:t>ср=</m:t>
          </m:r>
        </m:oMath>
      </m:oMathPara>
    </w:p>
    <w:p w:rsidR="000C5AE4" w:rsidRDefault="000C5AE4">
      <w:pPr>
        <w:ind w:firstLine="709"/>
        <w:jc w:val="both"/>
        <w:rPr>
          <w:szCs w:val="28"/>
          <w:lang w:val="en-US"/>
        </w:rPr>
      </w:pP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где: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  <w:lang w:val="en-US"/>
        </w:rPr>
        <w:t>Li</w:t>
      </w:r>
      <w:r>
        <w:rPr>
          <w:szCs w:val="28"/>
        </w:rPr>
        <w:t xml:space="preserve"> – корректирующий коэффициент, уточняющий количество услуг в зависимости от количества лет, на которые были выданы лицензии на розничную продажу алкогольной продукции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период.</w:t>
      </w:r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ind w:firstLine="709"/>
        <w:jc w:val="both"/>
        <w:rPr>
          <w:szCs w:val="28"/>
          <w:vertAlign w:val="subscript"/>
        </w:rPr>
      </w:pPr>
      <w:r>
        <w:rPr>
          <w:szCs w:val="28"/>
          <w:lang w:val="en-US"/>
        </w:rPr>
        <w:t>L</w:t>
      </w:r>
      <w:r>
        <w:rPr>
          <w:szCs w:val="28"/>
          <w:vertAlign w:val="subscript"/>
          <w:lang w:val="en-US"/>
        </w:rPr>
        <w:t>i</w:t>
      </w:r>
      <w:r>
        <w:rPr>
          <w:szCs w:val="28"/>
        </w:rPr>
        <w:t xml:space="preserve"> = (Уав</w:t>
      </w:r>
      <w:r>
        <w:rPr>
          <w:szCs w:val="28"/>
          <w:vertAlign w:val="subscript"/>
        </w:rPr>
        <w:t>1</w:t>
      </w:r>
      <w:r>
        <w:rPr>
          <w:szCs w:val="28"/>
        </w:rPr>
        <w:t xml:space="preserve"> * 1 + Уав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 * 2 + Уав</w:t>
      </w:r>
      <w:r>
        <w:rPr>
          <w:szCs w:val="28"/>
          <w:vertAlign w:val="subscript"/>
        </w:rPr>
        <w:t>3</w:t>
      </w:r>
      <w:r>
        <w:rPr>
          <w:szCs w:val="28"/>
        </w:rPr>
        <w:t xml:space="preserve"> * 3 + Уав</w:t>
      </w:r>
      <w:r>
        <w:rPr>
          <w:szCs w:val="28"/>
          <w:vertAlign w:val="subscript"/>
        </w:rPr>
        <w:t>4</w:t>
      </w:r>
      <w:r>
        <w:rPr>
          <w:szCs w:val="28"/>
        </w:rPr>
        <w:t xml:space="preserve"> * 4 + Уав</w:t>
      </w:r>
      <w:r>
        <w:rPr>
          <w:szCs w:val="28"/>
          <w:vertAlign w:val="subscript"/>
        </w:rPr>
        <w:t>5</w:t>
      </w:r>
      <w:r>
        <w:rPr>
          <w:szCs w:val="28"/>
        </w:rPr>
        <w:t xml:space="preserve"> * 5) / </w:t>
      </w:r>
      <w:proofErr w:type="spellStart"/>
      <w:r>
        <w:rPr>
          <w:szCs w:val="28"/>
        </w:rPr>
        <w:t>Уав</w:t>
      </w:r>
      <w:r>
        <w:rPr>
          <w:szCs w:val="28"/>
          <w:vertAlign w:val="subscript"/>
        </w:rPr>
        <w:t>об</w:t>
      </w:r>
      <w:proofErr w:type="spellEnd"/>
    </w:p>
    <w:p w:rsidR="000C5AE4" w:rsidRDefault="000C5AE4">
      <w:pPr>
        <w:ind w:firstLine="709"/>
        <w:jc w:val="both"/>
        <w:rPr>
          <w:szCs w:val="28"/>
          <w:vertAlign w:val="subscript"/>
        </w:rPr>
      </w:pP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где: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Уав</w:t>
      </w:r>
      <w:r>
        <w:rPr>
          <w:szCs w:val="28"/>
          <w:vertAlign w:val="subscript"/>
        </w:rPr>
        <w:t>1</w:t>
      </w:r>
      <w:r>
        <w:rPr>
          <w:szCs w:val="28"/>
        </w:rPr>
        <w:t xml:space="preserve"> – количество услуг по выдаче лицензий на розничную продажу алкогольной продукции сроком на один год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Уав</w:t>
      </w:r>
      <w:r>
        <w:rPr>
          <w:szCs w:val="28"/>
          <w:vertAlign w:val="subscript"/>
        </w:rPr>
        <w:t>2</w:t>
      </w:r>
      <w:r>
        <w:rPr>
          <w:szCs w:val="28"/>
        </w:rPr>
        <w:t xml:space="preserve"> – количество услуг по выдаче лицензий на розничную продажу алкоголь</w:t>
      </w:r>
      <w:r>
        <w:rPr>
          <w:szCs w:val="28"/>
        </w:rPr>
        <w:t xml:space="preserve">ной продукции сроком на два года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Уав</w:t>
      </w:r>
      <w:r>
        <w:rPr>
          <w:szCs w:val="28"/>
          <w:vertAlign w:val="subscript"/>
        </w:rPr>
        <w:t>3</w:t>
      </w:r>
      <w:r>
        <w:rPr>
          <w:szCs w:val="28"/>
        </w:rPr>
        <w:t xml:space="preserve"> – количество услуг по выдаче лицензий на розничную продажу алкогольной продукции сроком на три года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Уав</w:t>
      </w:r>
      <w:r>
        <w:rPr>
          <w:szCs w:val="28"/>
          <w:vertAlign w:val="subscript"/>
        </w:rPr>
        <w:t>4</w:t>
      </w:r>
      <w:r>
        <w:rPr>
          <w:szCs w:val="28"/>
        </w:rPr>
        <w:t xml:space="preserve"> – количество услуг по выдаче лицензий на розничную продажу алкогольной продукции ср</w:t>
      </w:r>
      <w:r>
        <w:rPr>
          <w:szCs w:val="28"/>
        </w:rPr>
        <w:t xml:space="preserve">оком на четыре года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Уав</w:t>
      </w:r>
      <w:r>
        <w:rPr>
          <w:szCs w:val="28"/>
          <w:vertAlign w:val="subscript"/>
        </w:rPr>
        <w:t>5</w:t>
      </w:r>
      <w:r>
        <w:rPr>
          <w:szCs w:val="28"/>
        </w:rPr>
        <w:t xml:space="preserve"> – количество услуг по выдаче лицензий на розничную продажу алкогольной продукции сроком на пять лет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период;</w:t>
      </w:r>
    </w:p>
    <w:p w:rsidR="000C5AE4" w:rsidRDefault="00CD0FF7">
      <w:pPr>
        <w:ind w:firstLine="709"/>
        <w:jc w:val="both"/>
        <w:rPr>
          <w:szCs w:val="28"/>
        </w:rPr>
      </w:pPr>
      <w:proofErr w:type="spellStart"/>
      <w:r>
        <w:rPr>
          <w:szCs w:val="28"/>
        </w:rPr>
        <w:t>Уав</w:t>
      </w:r>
      <w:r>
        <w:rPr>
          <w:szCs w:val="28"/>
          <w:vertAlign w:val="subscript"/>
        </w:rPr>
        <w:t>об</w:t>
      </w:r>
      <w:proofErr w:type="spellEnd"/>
      <w:r>
        <w:rPr>
          <w:szCs w:val="28"/>
        </w:rPr>
        <w:t xml:space="preserve"> – общее количество услуг по выдаче лицензий на розничную продажу алкогольной продукции за </w:t>
      </w:r>
      <w:proofErr w:type="spellStart"/>
      <w:r>
        <w:rPr>
          <w:szCs w:val="28"/>
          <w:lang w:val="en-US"/>
        </w:rPr>
        <w:t>i</w:t>
      </w:r>
      <w:proofErr w:type="spellEnd"/>
      <w:r>
        <w:rPr>
          <w:szCs w:val="28"/>
        </w:rPr>
        <w:t>-й п</w:t>
      </w:r>
      <w:r>
        <w:rPr>
          <w:szCs w:val="28"/>
        </w:rPr>
        <w:t>ериод.</w:t>
      </w:r>
    </w:p>
    <w:p w:rsidR="000C5AE4" w:rsidRDefault="000C5AE4">
      <w:pPr>
        <w:ind w:firstLine="709"/>
        <w:jc w:val="both"/>
        <w:rPr>
          <w:szCs w:val="28"/>
        </w:rPr>
      </w:pPr>
    </w:p>
    <w:p w:rsidR="000C5AE4" w:rsidRDefault="00CD0FF7">
      <w:pPr>
        <w:ind w:right="141"/>
        <w:rPr>
          <w:szCs w:val="28"/>
        </w:rPr>
      </w:pPr>
      <w:r>
        <w:rPr>
          <w:szCs w:val="28"/>
        </w:rPr>
        <w:t xml:space="preserve">Расчет прогноза на 2026 год (количество отчетных периодов – 2022, 2023, 2024 годы). </w:t>
      </w:r>
    </w:p>
    <w:p w:rsidR="000C5AE4" w:rsidRDefault="000C5AE4">
      <w:pPr>
        <w:ind w:right="141"/>
        <w:rPr>
          <w:szCs w:val="28"/>
        </w:rPr>
      </w:pPr>
    </w:p>
    <w:p w:rsidR="000C5AE4" w:rsidRDefault="00CD0FF7">
      <w:pPr>
        <w:ind w:right="141"/>
        <w:rPr>
          <w:szCs w:val="28"/>
        </w:rPr>
      </w:pPr>
      <w:proofErr w:type="spellStart"/>
      <w:r>
        <w:rPr>
          <w:szCs w:val="28"/>
        </w:rPr>
        <w:t>Дгп</w:t>
      </w:r>
      <w:proofErr w:type="spellEnd"/>
      <w:r>
        <w:rPr>
          <w:szCs w:val="28"/>
        </w:rPr>
        <w:t xml:space="preserve"> = 308,0 + 64 699,50 = </w:t>
      </w:r>
      <w:r>
        <w:rPr>
          <w:b/>
          <w:szCs w:val="28"/>
        </w:rPr>
        <w:t>65 007,50 тыс. рублей</w:t>
      </w:r>
      <w:r>
        <w:rPr>
          <w:szCs w:val="28"/>
        </w:rPr>
        <w:t>,</w:t>
      </w:r>
    </w:p>
    <w:p w:rsidR="000C5AE4" w:rsidRDefault="000C5AE4">
      <w:pPr>
        <w:ind w:right="141"/>
        <w:rPr>
          <w:szCs w:val="28"/>
        </w:rPr>
      </w:pPr>
    </w:p>
    <w:p w:rsidR="000C5AE4" w:rsidRDefault="00CD0FF7">
      <w:pPr>
        <w:ind w:right="141"/>
        <w:rPr>
          <w:szCs w:val="28"/>
        </w:rPr>
      </w:pPr>
      <w:proofErr w:type="spellStart"/>
      <w:r>
        <w:rPr>
          <w:szCs w:val="28"/>
        </w:rPr>
        <w:t>Дгпм</w:t>
      </w:r>
      <w:proofErr w:type="spellEnd"/>
      <w:r>
        <w:rPr>
          <w:szCs w:val="28"/>
        </w:rPr>
        <w:t xml:space="preserve"> = (18+21+18)/3 * 7,5 + (51+46+45)/3*3,5 = 308,0 тыс. рублей, </w:t>
      </w:r>
    </w:p>
    <w:p w:rsidR="000C5AE4" w:rsidRDefault="000C5AE4">
      <w:pPr>
        <w:ind w:right="141"/>
        <w:rPr>
          <w:szCs w:val="28"/>
        </w:rPr>
      </w:pPr>
    </w:p>
    <w:p w:rsidR="000C5AE4" w:rsidRDefault="00CD0FF7">
      <w:pPr>
        <w:ind w:right="141"/>
        <w:rPr>
          <w:szCs w:val="28"/>
        </w:rPr>
      </w:pPr>
      <w:proofErr w:type="spellStart"/>
      <w:r>
        <w:rPr>
          <w:szCs w:val="28"/>
        </w:rPr>
        <w:t>Дгпа</w:t>
      </w:r>
      <w:proofErr w:type="spellEnd"/>
      <w:r>
        <w:rPr>
          <w:szCs w:val="28"/>
        </w:rPr>
        <w:t xml:space="preserve"> </w:t>
      </w:r>
      <w:proofErr w:type="gramStart"/>
      <w:r>
        <w:rPr>
          <w:szCs w:val="28"/>
        </w:rPr>
        <w:t>=(</w:t>
      </w:r>
      <w:proofErr w:type="gramEnd"/>
      <w:r>
        <w:rPr>
          <w:szCs w:val="28"/>
        </w:rPr>
        <w:t>806+703+571)/3*1,39*65,0 + (529+628+6</w:t>
      </w:r>
      <w:r>
        <w:rPr>
          <w:szCs w:val="28"/>
        </w:rPr>
        <w:t>06)/3*3,5 = 64699,50 тыс. рублей.</w:t>
      </w:r>
    </w:p>
    <w:p w:rsidR="000C5AE4" w:rsidRDefault="000C5AE4">
      <w:pPr>
        <w:ind w:right="141"/>
        <w:rPr>
          <w:szCs w:val="28"/>
        </w:rPr>
      </w:pPr>
    </w:p>
    <w:p w:rsidR="000C5AE4" w:rsidRDefault="00CD0FF7">
      <w:pPr>
        <w:ind w:right="141"/>
        <w:rPr>
          <w:szCs w:val="28"/>
        </w:rPr>
      </w:pPr>
      <w:r>
        <w:rPr>
          <w:szCs w:val="28"/>
        </w:rPr>
        <w:t>L2022 = (133*1+7*2+17*3+1*4+4*5)/162 = 1,37;</w:t>
      </w:r>
    </w:p>
    <w:p w:rsidR="000C5AE4" w:rsidRDefault="00CD0FF7">
      <w:pPr>
        <w:ind w:right="141"/>
        <w:rPr>
          <w:szCs w:val="28"/>
        </w:rPr>
      </w:pPr>
      <w:r>
        <w:rPr>
          <w:szCs w:val="28"/>
        </w:rPr>
        <w:t>L2023 = (488*1+37*2+52*3+4*4+40*5)/621 = 1,5;</w:t>
      </w:r>
    </w:p>
    <w:p w:rsidR="000C5AE4" w:rsidRDefault="00CD0FF7">
      <w:pPr>
        <w:ind w:right="141"/>
        <w:rPr>
          <w:szCs w:val="28"/>
        </w:rPr>
      </w:pPr>
      <w:r>
        <w:rPr>
          <w:szCs w:val="28"/>
        </w:rPr>
        <w:t>L2024 = (483*1+32*2+26*3+8*4+22*5)/571 = 1,3;</w:t>
      </w:r>
    </w:p>
    <w:p w:rsidR="000C5AE4" w:rsidRDefault="00CD0FF7">
      <w:pPr>
        <w:ind w:right="141"/>
        <w:rPr>
          <w:szCs w:val="28"/>
        </w:rPr>
      </w:pPr>
      <w:proofErr w:type="spellStart"/>
      <w:r>
        <w:rPr>
          <w:szCs w:val="28"/>
        </w:rPr>
        <w:t>Lср</w:t>
      </w:r>
      <w:proofErr w:type="spellEnd"/>
      <w:r>
        <w:rPr>
          <w:szCs w:val="28"/>
        </w:rPr>
        <w:t xml:space="preserve">     = (1,37+1,5+1,3)/3= 1,39</w:t>
      </w:r>
    </w:p>
    <w:p w:rsidR="000C5AE4" w:rsidRDefault="000C5AE4">
      <w:pPr>
        <w:ind w:right="141"/>
        <w:rPr>
          <w:szCs w:val="28"/>
        </w:rPr>
      </w:pPr>
    </w:p>
    <w:p w:rsidR="000C5AE4" w:rsidRDefault="00CD0FF7">
      <w:pPr>
        <w:ind w:right="141"/>
        <w:rPr>
          <w:szCs w:val="28"/>
        </w:rPr>
      </w:pPr>
      <w:r>
        <w:rPr>
          <w:szCs w:val="28"/>
        </w:rPr>
        <w:t>2027 год</w:t>
      </w:r>
    </w:p>
    <w:p w:rsidR="000C5AE4" w:rsidRDefault="00CD0FF7">
      <w:pPr>
        <w:ind w:right="141"/>
        <w:jc w:val="both"/>
        <w:rPr>
          <w:szCs w:val="28"/>
        </w:rPr>
      </w:pPr>
      <w:proofErr w:type="spellStart"/>
      <w:r>
        <w:rPr>
          <w:szCs w:val="28"/>
        </w:rPr>
        <w:t>Дгп</w:t>
      </w:r>
      <w:proofErr w:type="spellEnd"/>
      <w:r>
        <w:rPr>
          <w:szCs w:val="28"/>
        </w:rPr>
        <w:t xml:space="preserve"> = (51 982,5 (поступления 2024) + 50</w:t>
      </w:r>
      <w:r>
        <w:rPr>
          <w:szCs w:val="28"/>
          <w:lang w:val="en-US"/>
        </w:rPr>
        <w:t> </w:t>
      </w:r>
      <w:r>
        <w:rPr>
          <w:szCs w:val="28"/>
        </w:rPr>
        <w:t xml:space="preserve">972,0(ожидаемые поступления 2025) + 65 007,50 (прогноз2026))/3 = </w:t>
      </w:r>
      <w:r>
        <w:rPr>
          <w:b/>
          <w:szCs w:val="28"/>
        </w:rPr>
        <w:t>55</w:t>
      </w:r>
      <w:r>
        <w:rPr>
          <w:b/>
          <w:szCs w:val="28"/>
          <w:lang w:val="en-US"/>
        </w:rPr>
        <w:t> </w:t>
      </w:r>
      <w:r>
        <w:rPr>
          <w:b/>
          <w:szCs w:val="28"/>
        </w:rPr>
        <w:t>987,0 тыс. рублей</w:t>
      </w:r>
      <w:r>
        <w:rPr>
          <w:szCs w:val="28"/>
        </w:rPr>
        <w:t>;</w:t>
      </w:r>
    </w:p>
    <w:p w:rsidR="000C5AE4" w:rsidRDefault="000C5AE4">
      <w:pPr>
        <w:ind w:right="141"/>
        <w:rPr>
          <w:szCs w:val="28"/>
        </w:rPr>
      </w:pPr>
    </w:p>
    <w:p w:rsidR="000C5AE4" w:rsidRDefault="00CD0FF7">
      <w:pPr>
        <w:ind w:right="141"/>
        <w:rPr>
          <w:szCs w:val="28"/>
        </w:rPr>
      </w:pPr>
      <w:r>
        <w:rPr>
          <w:szCs w:val="28"/>
        </w:rPr>
        <w:t>2028 год</w:t>
      </w:r>
    </w:p>
    <w:p w:rsidR="000C5AE4" w:rsidRDefault="00CD0FF7">
      <w:pPr>
        <w:ind w:right="141"/>
        <w:jc w:val="both"/>
        <w:rPr>
          <w:b/>
          <w:szCs w:val="28"/>
        </w:rPr>
      </w:pPr>
      <w:proofErr w:type="spellStart"/>
      <w:r>
        <w:rPr>
          <w:szCs w:val="28"/>
        </w:rPr>
        <w:t>Дгп</w:t>
      </w:r>
      <w:proofErr w:type="spellEnd"/>
      <w:r>
        <w:rPr>
          <w:szCs w:val="28"/>
        </w:rPr>
        <w:t xml:space="preserve"> = (50 972,0(ожидаемые поступления 2025) + 65 007,5 (прогноз2026) +55 987,0 (прогноз2027))/3 = </w:t>
      </w:r>
      <w:r>
        <w:rPr>
          <w:b/>
          <w:szCs w:val="28"/>
        </w:rPr>
        <w:t>57 322,0 тыс. рублей;</w:t>
      </w:r>
    </w:p>
    <w:p w:rsidR="000C5AE4" w:rsidRDefault="000C5AE4">
      <w:pPr>
        <w:ind w:right="141"/>
        <w:rPr>
          <w:szCs w:val="28"/>
        </w:rPr>
      </w:pPr>
    </w:p>
    <w:p w:rsidR="000C5AE4" w:rsidRDefault="00CD0FF7">
      <w:pPr>
        <w:ind w:right="142" w:firstLine="709"/>
        <w:jc w:val="both"/>
        <w:rPr>
          <w:szCs w:val="28"/>
        </w:rPr>
      </w:pPr>
      <w:r>
        <w:rPr>
          <w:szCs w:val="28"/>
        </w:rPr>
        <w:t xml:space="preserve">Расчет прогноза доходов по КБК 026 1 </w:t>
      </w:r>
      <w:r>
        <w:rPr>
          <w:szCs w:val="28"/>
        </w:rPr>
        <w:t>08 07082 01 1000 110 производился с учетом следующих законодательных актов, принятых Правительством РФ:</w:t>
      </w:r>
    </w:p>
    <w:p w:rsidR="000C5AE4" w:rsidRDefault="00CD0FF7">
      <w:pPr>
        <w:ind w:right="142" w:firstLine="709"/>
        <w:jc w:val="both"/>
        <w:rPr>
          <w:szCs w:val="28"/>
        </w:rPr>
      </w:pPr>
      <w:r>
        <w:rPr>
          <w:szCs w:val="28"/>
        </w:rPr>
        <w:t>- Постановление Правительства Российской Федерации от 12.03.22 № 353 «Об особенностях разрешительной деятельности в Российской Федерации в 2022 году и 2</w:t>
      </w:r>
      <w:r>
        <w:rPr>
          <w:szCs w:val="28"/>
        </w:rPr>
        <w:t xml:space="preserve">023 годах» (далее – Постановление № 353). </w:t>
      </w:r>
    </w:p>
    <w:p w:rsidR="000C5AE4" w:rsidRDefault="00CD0FF7">
      <w:pPr>
        <w:ind w:right="142" w:firstLine="709"/>
        <w:jc w:val="both"/>
        <w:rPr>
          <w:szCs w:val="28"/>
        </w:rPr>
      </w:pPr>
      <w:r>
        <w:rPr>
          <w:szCs w:val="28"/>
        </w:rPr>
        <w:t>В соответствии с пунктом 1 Постановления № 353 лицензии на розничную продажу алкогольной продукции и лицензии на розничную продажу алкогольной продукции при оказании услуг общественного питания, сроки действия кот</w:t>
      </w:r>
      <w:r>
        <w:rPr>
          <w:szCs w:val="28"/>
        </w:rPr>
        <w:t xml:space="preserve">орых истекают в период с 14 марта 2022 по 14 марта 2023, продлеваются на 12 месяцев без принятия специальных решений, в том числе без уплаты государственной пошлины. </w:t>
      </w:r>
    </w:p>
    <w:p w:rsidR="000C5AE4" w:rsidRDefault="00CD0FF7">
      <w:pPr>
        <w:ind w:right="142" w:firstLine="709"/>
        <w:jc w:val="both"/>
        <w:rPr>
          <w:szCs w:val="28"/>
        </w:rPr>
      </w:pPr>
      <w:r>
        <w:rPr>
          <w:szCs w:val="28"/>
        </w:rPr>
        <w:t>Во исполнение указанных постановлений на территории Новосибирской области в 2022 году про</w:t>
      </w:r>
      <w:r>
        <w:rPr>
          <w:szCs w:val="28"/>
        </w:rPr>
        <w:t>длено 644 лицензии на розничную продажу алкогольной продукции и на розничную продажу алкогольной продукции при оказании услуг общественного питания; в 2023 году – 82 лицензии.</w:t>
      </w:r>
    </w:p>
    <w:p w:rsidR="000C5AE4" w:rsidRDefault="00CD0FF7">
      <w:pPr>
        <w:ind w:right="142" w:firstLine="709"/>
        <w:jc w:val="both"/>
        <w:rPr>
          <w:szCs w:val="28"/>
        </w:rPr>
      </w:pPr>
      <w:r>
        <w:rPr>
          <w:szCs w:val="28"/>
        </w:rPr>
        <w:t>Согласно пункту 9 Постановления № 353 оплата государственной пошлины в рамках ок</w:t>
      </w:r>
      <w:r>
        <w:rPr>
          <w:szCs w:val="28"/>
        </w:rPr>
        <w:t xml:space="preserve">азания государственной услуги по лицензированию деятельности по заготовке, хранению, переработке и реализации лома черных металлов, цветных металлов по заявлениям, поданным с 14.03.2022 до 31.12.2029, не требуется.  </w:t>
      </w:r>
    </w:p>
    <w:p w:rsidR="000C5AE4" w:rsidRDefault="00CD0FF7">
      <w:pPr>
        <w:ind w:right="142" w:firstLine="709"/>
        <w:jc w:val="both"/>
        <w:rPr>
          <w:szCs w:val="28"/>
        </w:rPr>
      </w:pPr>
      <w:r>
        <w:rPr>
          <w:szCs w:val="28"/>
        </w:rPr>
        <w:t>Без оплаты государственной пошлины в 20</w:t>
      </w:r>
      <w:r>
        <w:rPr>
          <w:szCs w:val="28"/>
        </w:rPr>
        <w:t xml:space="preserve">22 году выдано 18 и переоформлена 51 лицензия на заготовку, хранение, переработку и реализацию </w:t>
      </w:r>
      <w:r>
        <w:rPr>
          <w:szCs w:val="28"/>
        </w:rPr>
        <w:lastRenderedPageBreak/>
        <w:t>лома черных металлов, цветных металлов; в 2023 году – выдана 21 лицензия, переоформлено 46 лицензий; в 2024 году – выдано 18 лицензий, переоформлено 45 лицензий.</w:t>
      </w:r>
      <w:r>
        <w:rPr>
          <w:szCs w:val="28"/>
        </w:rPr>
        <w:t xml:space="preserve"> </w:t>
      </w:r>
    </w:p>
    <w:p w:rsidR="000C5AE4" w:rsidRDefault="00CD0FF7">
      <w:pPr>
        <w:ind w:right="142" w:firstLine="709"/>
        <w:jc w:val="both"/>
        <w:rPr>
          <w:szCs w:val="28"/>
        </w:rPr>
      </w:pPr>
      <w:r>
        <w:rPr>
          <w:szCs w:val="28"/>
        </w:rPr>
        <w:t xml:space="preserve">При расчете прогноза поступления госпошлины в 2026, 2027, 2028 годах учитывалась сумма возможных поступлений в 2022, 2023, 2024 </w:t>
      </w:r>
      <w:proofErr w:type="gramStart"/>
      <w:r>
        <w:rPr>
          <w:szCs w:val="28"/>
        </w:rPr>
        <w:t>годах, в случае, если</w:t>
      </w:r>
      <w:proofErr w:type="gramEnd"/>
      <w:r>
        <w:rPr>
          <w:szCs w:val="28"/>
        </w:rPr>
        <w:t xml:space="preserve"> бы организации, лицензии которых были продлены автоматически (алкоголь) или которые не оплачивали госуда</w:t>
      </w:r>
      <w:r>
        <w:rPr>
          <w:szCs w:val="28"/>
        </w:rPr>
        <w:t>рственную пошлину (металлы), обратились в лицензирующий орган и оплатили госпошлину.</w:t>
      </w:r>
    </w:p>
    <w:p w:rsidR="000C5AE4" w:rsidRDefault="00CD0FF7">
      <w:pPr>
        <w:ind w:right="142" w:firstLine="709"/>
        <w:jc w:val="both"/>
        <w:rPr>
          <w:bCs/>
          <w:szCs w:val="28"/>
        </w:rPr>
      </w:pPr>
      <w:r>
        <w:rPr>
          <w:bCs/>
          <w:szCs w:val="28"/>
        </w:rPr>
        <w:t>За последние 3 года наблюдается уменьшение количества лицензий на розничную продажу алкогольной продукции и, в то же время, увеличение количества торговых объектов. Это св</w:t>
      </w:r>
      <w:r>
        <w:rPr>
          <w:bCs/>
          <w:szCs w:val="28"/>
        </w:rPr>
        <w:t>язано с активным развитием на территории Новосибирской области федеральных сетей.</w:t>
      </w:r>
    </w:p>
    <w:p w:rsidR="000C5AE4" w:rsidRDefault="00CD0FF7">
      <w:pPr>
        <w:ind w:right="142" w:firstLine="709"/>
        <w:jc w:val="both"/>
      </w:pPr>
      <w:r>
        <w:t>Также, согласно пункту 9 Постановления Правительства Российской Федерации от 12.03.2022 № 353 «Об особенностях разрешительной деятельности в Российской Федерации», оплата гос</w:t>
      </w:r>
      <w:r>
        <w:t>ударственной пошлины в рамках оказания государственной услуги по лицензированию деятельности по заготовке, хранению, переработке и реализации лома черных металлов, цветных металлов по заявлениям, поданным с 01.01.2024 по 31.12.2029, не требуется.</w:t>
      </w:r>
    </w:p>
    <w:p w:rsidR="000C5AE4" w:rsidRDefault="00CD0FF7">
      <w:pPr>
        <w:ind w:right="142" w:firstLine="709"/>
        <w:jc w:val="both"/>
      </w:pPr>
      <w:r>
        <w:rPr>
          <w:bCs/>
        </w:rPr>
        <w:t>Неисполне</w:t>
      </w:r>
      <w:r>
        <w:rPr>
          <w:bCs/>
        </w:rPr>
        <w:t>ние плановых назначений за 5 месяцев 2025 года обусловлено тем, что за данный период заявления на получение (продление) лицензии на розничную продажу алкогольной продукции поданы меньшим количеством организаций, чем было запланировано.</w:t>
      </w:r>
    </w:p>
    <w:p w:rsidR="000C5AE4" w:rsidRDefault="00CD0FF7">
      <w:pPr>
        <w:ind w:right="142" w:firstLine="709"/>
        <w:jc w:val="both"/>
      </w:pPr>
      <w:r>
        <w:t>Фактически за 5 меся</w:t>
      </w:r>
      <w:r>
        <w:t>цев 2025 года поступило 18 907,9</w:t>
      </w:r>
      <w:r>
        <w:rPr>
          <w:bCs/>
        </w:rPr>
        <w:t xml:space="preserve"> тыс. рублей, что составило 72,0 % от плана. </w:t>
      </w:r>
      <w:r>
        <w:t>С учетом финансовых поступлений за текущий период 2025 года ожидаемое поступление составит 50 972,0 тыс. рублей.</w:t>
      </w:r>
    </w:p>
    <w:p w:rsidR="000C5AE4" w:rsidRDefault="000C5AE4">
      <w:pPr>
        <w:ind w:right="142" w:firstLine="709"/>
        <w:jc w:val="both"/>
        <w:rPr>
          <w:b/>
        </w:rPr>
      </w:pPr>
    </w:p>
    <w:p w:rsidR="000C5AE4" w:rsidRDefault="00CD0FF7">
      <w:pPr>
        <w:ind w:right="141" w:firstLine="708"/>
        <w:jc w:val="both"/>
      </w:pPr>
      <w:r>
        <w:t xml:space="preserve">2. По КБК 026 1 13 01992 02 0000 130 «Прочие доходы от оказания </w:t>
      </w:r>
      <w:r>
        <w:t xml:space="preserve">платных услуг (работ) получателями средств бюджетов субъектов Российской Федерации» прогнозируемое поступление доходов не рассчитывается в связи с вступлением в силу с 01.03.2022 Федерального закона от 11.06.2021 № 170-ФЗ «О внесении изменений в отдельные </w:t>
      </w:r>
      <w:r>
        <w:t>законодательные акты Российской Федерации в связи с принятием Федерального закона «О государственном контроле (надзоре) и муниципальном контроле в Российской Федерации», в соответствие с нормами которого сведения о конкретной лицензии предоставляются в фор</w:t>
      </w:r>
      <w:r>
        <w:t>ме электронного документа, плата за которые не взимается. В 2023-2025 годах поступления не производились.</w:t>
      </w:r>
    </w:p>
    <w:p w:rsidR="000C5AE4" w:rsidRDefault="000C5AE4">
      <w:pPr>
        <w:ind w:right="141" w:firstLine="708"/>
        <w:jc w:val="both"/>
        <w:rPr>
          <w:highlight w:val="yellow"/>
        </w:rPr>
      </w:pPr>
    </w:p>
    <w:p w:rsidR="000C5AE4" w:rsidRDefault="00CD0FF7">
      <w:pPr>
        <w:ind w:right="141" w:firstLine="708"/>
        <w:jc w:val="both"/>
      </w:pPr>
      <w:r>
        <w:t>3. По КБК 026 1 13 02992 02 0300 130 «Прочие доходы от компенсации затрат бюджетов субъектов РФ (средства, поступающие от возврата субсидий, предоста</w:t>
      </w:r>
      <w:r>
        <w:t xml:space="preserve">вленных из средств областного бюджета Новосибирской области)» прогнозные показатели не устанавливаются. </w:t>
      </w:r>
    </w:p>
    <w:p w:rsidR="000C5AE4" w:rsidRDefault="00CD0FF7">
      <w:pPr>
        <w:ind w:right="141" w:firstLine="708"/>
        <w:jc w:val="both"/>
      </w:pPr>
      <w:r>
        <w:t>В 2025 году перечислено в доход областного бюджета удержание из заработной платы сотрудника согласно заявлению, в размере 0,4 тыс. рублей.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firstLine="709"/>
        <w:jc w:val="both"/>
      </w:pPr>
      <w:r>
        <w:lastRenderedPageBreak/>
        <w:t>4. По КБК 0</w:t>
      </w:r>
      <w:r>
        <w:t>26 1 16 07010 02 0000 140 «Штрафы, неустойки, пени, уплаченные в случае просрочки исполнения поставщиком (подрядчиком, исполнителем) обязательств, предусмотренных государственным контрактом, заключенным государственным органом субъекта Российской Федерации</w:t>
      </w:r>
      <w:r>
        <w:t>, казенным учреждением субъекта Российской Федерации» прогнозные показатели не устанавливаются.</w:t>
      </w:r>
    </w:p>
    <w:p w:rsidR="000C5AE4" w:rsidRDefault="000C5AE4">
      <w:pPr>
        <w:ind w:firstLine="709"/>
        <w:jc w:val="both"/>
      </w:pPr>
    </w:p>
    <w:p w:rsidR="000C5AE4" w:rsidRDefault="00CD0FF7">
      <w:pPr>
        <w:ind w:firstLine="709"/>
        <w:jc w:val="both"/>
      </w:pPr>
      <w:r>
        <w:t>5. По КБК 026 1 16 07090 02 0000 140 «Иные штрафы, неустойки, пени, уплаченные в соответствии с законом или договором в случае неисполнения или ненадлежащего и</w:t>
      </w:r>
      <w:r>
        <w:t xml:space="preserve">сполнения обязательств перед государственным органом субъекта Российской Федерации, казенным учреждением субъекта Российской Федерации» прогнозные показатели не устанавливаются. </w:t>
      </w:r>
    </w:p>
    <w:p w:rsidR="000C5AE4" w:rsidRDefault="000C5AE4">
      <w:pPr>
        <w:ind w:firstLine="709"/>
        <w:jc w:val="both"/>
      </w:pPr>
    </w:p>
    <w:p w:rsidR="000C5AE4" w:rsidRDefault="00CD0FF7">
      <w:pPr>
        <w:ind w:firstLine="709"/>
        <w:jc w:val="both"/>
      </w:pPr>
      <w:r>
        <w:t>6. По КБК 026 1 16 10056 02 0000 140 «Платежи в целях возмещения убытков, пр</w:t>
      </w:r>
      <w:r>
        <w:t>ичиненных уклонением от заключения с государственным органом субъекта Российской Федерации (казенным учреждением субъекта Российской Федерации) государственного контракта, а также иные денежные средства, подлежащие зачислению в бюджет субъекта Российской Ф</w:t>
      </w:r>
      <w:r>
        <w:t>едерации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государственного контракта, финансируемого за счет средств дорожног</w:t>
      </w:r>
      <w:r>
        <w:t>о фонда субъекта Российской Федерации)» прогнозные показатели не устанавливаются.</w:t>
      </w:r>
    </w:p>
    <w:p w:rsidR="000C5AE4" w:rsidRDefault="000C5AE4">
      <w:pPr>
        <w:ind w:firstLine="709"/>
        <w:jc w:val="both"/>
      </w:pPr>
    </w:p>
    <w:p w:rsidR="000C5AE4" w:rsidRDefault="00CD0FF7">
      <w:pPr>
        <w:ind w:right="141" w:firstLine="708"/>
        <w:jc w:val="both"/>
      </w:pPr>
      <w:r>
        <w:t>7. По КБК 026 1 16 10076 02 0000 140 «Платежи в целях возмещения ущерба при расторжении государственного контракта, заключенного с государственным органом субъекта Российско</w:t>
      </w:r>
      <w:r>
        <w:t>й Федерации (казенным учреждением субъекта Российской Федерации), в связи с односторонним отказом исполнителя (подрядчика) от его исполнения (за исключением государственного контракта, финансируемого за счет средств дорожного фонда субъекта Российской Феде</w:t>
      </w:r>
      <w:r>
        <w:t>рации») прогнозные показатели не устанавливаются.</w:t>
      </w:r>
    </w:p>
    <w:p w:rsidR="000C5AE4" w:rsidRDefault="000C5AE4">
      <w:pPr>
        <w:ind w:right="141" w:firstLine="708"/>
        <w:jc w:val="both"/>
        <w:rPr>
          <w:color w:val="76923C" w:themeColor="accent3" w:themeShade="BF"/>
        </w:rPr>
      </w:pPr>
    </w:p>
    <w:p w:rsidR="000C5AE4" w:rsidRDefault="00CD0FF7">
      <w:pPr>
        <w:ind w:right="141" w:firstLine="708"/>
        <w:jc w:val="both"/>
      </w:pPr>
      <w:r>
        <w:t>8. По КБК 026 1 16 10100 02 0000 140 «Денежные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субъектов РФ</w:t>
      </w:r>
      <w:r>
        <w:t xml:space="preserve">)» рассчитывается методом усредненного расчета по суммарному объему годовых фактических поступлений не менее чем за 3 года. 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ПР=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nary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Р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±</m:t>
          </m:r>
          <m:r>
            <w:rPr>
              <w:rFonts w:ascii="Cambria Math" w:hAnsi="Cambria Math"/>
            </w:rPr>
            <m:t>Z</m:t>
          </m:r>
          <m:r>
            <w:rPr>
              <w:rFonts w:ascii="Cambria Math" w:hAnsi="Cambria Math"/>
            </w:rPr>
            <m:t>,где:</m:t>
          </m:r>
        </m:oMath>
      </m:oMathPara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ПР – прогнозный объем поступлений;</w:t>
      </w:r>
    </w:p>
    <w:p w:rsidR="000C5AE4" w:rsidRDefault="00CD0FF7">
      <w:pPr>
        <w:ind w:right="141" w:firstLine="708"/>
        <w:jc w:val="both"/>
      </w:pPr>
      <w:r>
        <w:t>∑_(i=</w:t>
      </w:r>
      <w:proofErr w:type="gramStart"/>
      <w:r>
        <w:t>1)^</w:t>
      </w:r>
      <w:proofErr w:type="gramEnd"/>
      <w:r>
        <w:t>n Ф - суммарный объем годовых поступлений;</w:t>
      </w:r>
    </w:p>
    <w:p w:rsidR="000C5AE4" w:rsidRDefault="00CD0FF7">
      <w:pPr>
        <w:ind w:right="141" w:firstLine="708"/>
        <w:jc w:val="both"/>
      </w:pPr>
      <w:r>
        <w:t>Р – объем поступлени</w:t>
      </w:r>
      <w:r>
        <w:t>й, имеющих разовый характер;</w:t>
      </w:r>
    </w:p>
    <w:p w:rsidR="000C5AE4" w:rsidRDefault="00CD0FF7">
      <w:pPr>
        <w:ind w:right="141" w:firstLine="708"/>
        <w:jc w:val="both"/>
      </w:pPr>
      <w:r>
        <w:t>n – количество лет, за которые используются данные расчета;</w:t>
      </w:r>
    </w:p>
    <w:p w:rsidR="000C5AE4" w:rsidRDefault="00CD0FF7">
      <w:pPr>
        <w:ind w:right="141" w:firstLine="708"/>
        <w:jc w:val="both"/>
      </w:pPr>
      <w:r>
        <w:lastRenderedPageBreak/>
        <w:t>Z – сумма дополнительных или выпадающих доходов бюджета, за счет изменения законодательства и иных факторов (при наличии), влияющих на сумму прогнозных поступлений.</w:t>
      </w:r>
    </w:p>
    <w:p w:rsidR="000C5AE4" w:rsidRDefault="00CD0FF7">
      <w:pPr>
        <w:ind w:right="141" w:firstLine="708"/>
        <w:jc w:val="both"/>
      </w:pPr>
      <w:r>
        <w:t>Пр</w:t>
      </w:r>
      <w:r>
        <w:t xml:space="preserve">и расчете прогнозного объема поступлений на текущий финансовый год, на очередной финансовый год, на первый год планового периода и второй год планового периода используется суммарный объем годовых фактических поступлений не менее чем за 3 года или за весь </w:t>
      </w:r>
      <w:r>
        <w:t>период поступления, если он не превышает 3 года, предшествующих текущему финансовому году.</w:t>
      </w:r>
    </w:p>
    <w:p w:rsidR="000C5AE4" w:rsidRDefault="00CD0FF7">
      <w:pPr>
        <w:ind w:right="141" w:firstLine="708"/>
        <w:jc w:val="both"/>
      </w:pPr>
      <w:r>
        <w:t>По решениям судебных органов о взыскании средств в областной бюджет от субъектов малого и среднего предпринимательства – получателей субсидий поступило:</w:t>
      </w:r>
    </w:p>
    <w:p w:rsidR="000C5AE4" w:rsidRDefault="00CD0FF7">
      <w:pPr>
        <w:ind w:right="141" w:firstLine="708"/>
        <w:jc w:val="both"/>
      </w:pPr>
      <w:r>
        <w:t xml:space="preserve">В 2022 году </w:t>
      </w:r>
      <w:r>
        <w:t>– 254,9 тыс. рублей;</w:t>
      </w:r>
    </w:p>
    <w:p w:rsidR="000C5AE4" w:rsidRDefault="00CD0FF7">
      <w:pPr>
        <w:ind w:right="141" w:firstLine="708"/>
        <w:jc w:val="both"/>
      </w:pPr>
      <w:r>
        <w:t>В 2023 году – 320,79 тыс. рублей;</w:t>
      </w:r>
    </w:p>
    <w:p w:rsidR="000C5AE4" w:rsidRDefault="00CD0FF7">
      <w:pPr>
        <w:ind w:right="141" w:firstLine="708"/>
        <w:jc w:val="both"/>
      </w:pPr>
      <w:r>
        <w:t>В 2024 году – 96,3 тыс. рублей.</w:t>
      </w:r>
    </w:p>
    <w:p w:rsidR="000C5AE4" w:rsidRDefault="00CD0FF7">
      <w:pPr>
        <w:ind w:right="141" w:firstLine="708"/>
        <w:jc w:val="both"/>
      </w:pPr>
      <w:r>
        <w:t>Р=0, Z=0,</w:t>
      </w:r>
    </w:p>
    <w:p w:rsidR="000C5AE4" w:rsidRDefault="00CD0FF7">
      <w:pPr>
        <w:ind w:right="141" w:firstLine="708"/>
        <w:jc w:val="both"/>
      </w:pPr>
      <w:proofErr w:type="spellStart"/>
      <w:r>
        <w:t>Пр</w:t>
      </w:r>
      <w:proofErr w:type="spellEnd"/>
      <w:r>
        <w:t xml:space="preserve"> = (254,9+320,79+96,3)/3= </w:t>
      </w:r>
      <w:r>
        <w:rPr>
          <w:b/>
        </w:rPr>
        <w:t>224,0 тыс. рублей</w:t>
      </w:r>
      <w:r>
        <w:t>.</w:t>
      </w:r>
    </w:p>
    <w:p w:rsidR="000C5AE4" w:rsidRDefault="00CD0FF7">
      <w:pPr>
        <w:ind w:right="141" w:firstLine="708"/>
        <w:jc w:val="both"/>
        <w:rPr>
          <w:b/>
        </w:rPr>
      </w:pPr>
      <w:r>
        <w:t xml:space="preserve">Ожидаемое поступление 2025 года составляет 528,9 тыс. рублей. В прогнозные 2026, 2027 и 2028 годы поступления планируются на уровне прогнозных показателей </w:t>
      </w:r>
      <w:r>
        <w:rPr>
          <w:b/>
        </w:rPr>
        <w:t>224,0 тыс. рублей ежегодно.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9. По КБК 026 1 16 10122 01 0000 140 «Доходы от денежных взысканий (штрафов), поступающие в счет погашения задолженности, образовавшейся до 1 января 2020 года, подлежащие зачислению в бюджет субъекта Российской Федерации по нормативам, действовавшим в 2019</w:t>
      </w:r>
      <w:r>
        <w:t xml:space="preserve"> году)» рассчитывается методом усредненного расчета по суммарному объему годовых фактических поступлений не менее чем за 3 года. 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ПР=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ctrlPr>
                    <w:rPr>
                      <w:rFonts w:ascii="Cambria Math" w:hAnsi="Cambria Math"/>
                    </w:rPr>
                  </m:ctrlPr>
                </m:naryPr>
                <m:sub>
                  <m:r>
                    <w:rPr>
                      <w:rFonts w:ascii="Cambria Math" w:hAnsi="Cambria Math"/>
                    </w:rPr>
                    <m:t>i</m:t>
                  </m:r>
                  <m:r>
                    <w:rPr>
                      <w:rFonts w:ascii="Cambria Math" w:hAnsi="Cambria Math"/>
                    </w:rPr>
                    <m:t>=1</m:t>
                  </m:r>
                </m:sub>
                <m:sup>
                  <m:r>
                    <w:rPr>
                      <w:rFonts w:ascii="Cambria Math" w:hAnsi="Cambria Math"/>
                    </w:rPr>
                    <m:t>n</m:t>
                  </m:r>
                </m:sup>
                <m:e>
                  <m:r>
                    <w:rPr>
                      <w:rFonts w:ascii="Cambria Math" w:hAnsi="Cambria Math"/>
                    </w:rPr>
                    <m:t>Ф</m:t>
                  </m:r>
                </m:e>
              </m:nary>
              <m:r>
                <w:rPr>
                  <w:rFonts w:ascii="Cambria Math" w:hAnsi="Cambria Math"/>
                </w:rPr>
                <m:t>-</m:t>
              </m:r>
              <m:r>
                <w:rPr>
                  <w:rFonts w:ascii="Cambria Math" w:hAnsi="Cambria Math"/>
                </w:rPr>
                <m:t>Р</m:t>
              </m:r>
            </m:num>
            <m:den>
              <m:r>
                <w:rPr>
                  <w:rFonts w:ascii="Cambria Math" w:hAnsi="Cambria Math"/>
                </w:rPr>
                <m:t>n</m:t>
              </m:r>
            </m:den>
          </m:f>
          <m:r>
            <w:rPr>
              <w:rFonts w:ascii="Cambria Math" w:hAnsi="Cambria Math"/>
            </w:rPr>
            <m:t>±</m:t>
          </m:r>
          <m:r>
            <w:rPr>
              <w:rFonts w:ascii="Cambria Math" w:hAnsi="Cambria Math"/>
            </w:rPr>
            <m:t>Z</m:t>
          </m:r>
          <m:r>
            <w:rPr>
              <w:rFonts w:ascii="Cambria Math" w:hAnsi="Cambria Math"/>
            </w:rPr>
            <m:t>,где:</m:t>
          </m:r>
        </m:oMath>
      </m:oMathPara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ПР – прогнозный объем поступлений;</w:t>
      </w:r>
    </w:p>
    <w:p w:rsidR="000C5AE4" w:rsidRDefault="00CD0FF7">
      <w:pPr>
        <w:ind w:right="141" w:firstLine="708"/>
        <w:jc w:val="both"/>
      </w:pPr>
      <w:r>
        <w:t>∑_(i=</w:t>
      </w:r>
      <w:proofErr w:type="gramStart"/>
      <w:r>
        <w:t>1)^</w:t>
      </w:r>
      <w:proofErr w:type="gramEnd"/>
      <w:r>
        <w:t>n Ф - суммарный объем годовых поступлений;</w:t>
      </w:r>
    </w:p>
    <w:p w:rsidR="000C5AE4" w:rsidRDefault="00CD0FF7">
      <w:pPr>
        <w:ind w:right="141" w:firstLine="708"/>
        <w:jc w:val="both"/>
      </w:pPr>
      <w:r>
        <w:t>Р – объем посту</w:t>
      </w:r>
      <w:r>
        <w:t>плений, имеющих разовый характер;</w:t>
      </w:r>
    </w:p>
    <w:p w:rsidR="000C5AE4" w:rsidRDefault="00CD0FF7">
      <w:pPr>
        <w:ind w:right="141" w:firstLine="708"/>
        <w:jc w:val="both"/>
      </w:pPr>
      <w:r>
        <w:t>n – количество лет, за которые используются данные расчета;</w:t>
      </w:r>
    </w:p>
    <w:p w:rsidR="000C5AE4" w:rsidRDefault="00CD0FF7">
      <w:pPr>
        <w:ind w:right="141" w:firstLine="708"/>
        <w:jc w:val="both"/>
      </w:pPr>
      <w:r>
        <w:t>Z – сумма дополнительных или выпадающих доходов бюджета, за счет изменения законодательства и иных факторов (при наличии), влияющих на сумму прогнозных поступлени</w:t>
      </w:r>
      <w:r>
        <w:t>й.</w:t>
      </w:r>
    </w:p>
    <w:p w:rsidR="000C5AE4" w:rsidRDefault="00CD0FF7">
      <w:pPr>
        <w:ind w:right="141" w:firstLine="708"/>
        <w:jc w:val="both"/>
      </w:pPr>
      <w:r>
        <w:t xml:space="preserve">При расчете прогнозного объема поступлений на текущий финансовый год, на очередной финансовый год, на первый год планового периода и второй год планового периода используется суммарный объем годовых фактических поступлений не менее чем за 3 года или за </w:t>
      </w:r>
      <w:r>
        <w:t>весь период поступления, если он не превышает 3 года, предшествующих текущему финансовому году.</w:t>
      </w:r>
    </w:p>
    <w:p w:rsidR="000C5AE4" w:rsidRDefault="00CD0FF7">
      <w:pPr>
        <w:ind w:right="141" w:firstLine="708"/>
        <w:jc w:val="both"/>
      </w:pPr>
      <w:r>
        <w:t>По решениям судебных органов о взыскании средств в областной бюджет от субъектов малого и среднего предпринимательства – получателей субсидий поступило:</w:t>
      </w:r>
    </w:p>
    <w:p w:rsidR="000C5AE4" w:rsidRDefault="00CD0FF7">
      <w:pPr>
        <w:ind w:right="141" w:firstLine="708"/>
        <w:jc w:val="both"/>
      </w:pPr>
      <w:r>
        <w:lastRenderedPageBreak/>
        <w:t xml:space="preserve">В 2022 </w:t>
      </w:r>
      <w:r>
        <w:t>году – -12,2 тыс. рублей за счет возврата средств;</w:t>
      </w:r>
    </w:p>
    <w:p w:rsidR="000C5AE4" w:rsidRDefault="00CD0FF7">
      <w:pPr>
        <w:ind w:right="141" w:firstLine="708"/>
        <w:jc w:val="both"/>
      </w:pPr>
      <w:r>
        <w:t>В 2023 году – 24,0 тыс. рублей;</w:t>
      </w:r>
    </w:p>
    <w:p w:rsidR="000C5AE4" w:rsidRDefault="00CD0FF7">
      <w:pPr>
        <w:ind w:right="141" w:firstLine="708"/>
        <w:jc w:val="both"/>
      </w:pPr>
      <w:r>
        <w:t>В 2024 году –.24,0 тыс. рублей</w:t>
      </w:r>
    </w:p>
    <w:p w:rsidR="000C5AE4" w:rsidRDefault="00CD0FF7">
      <w:pPr>
        <w:ind w:right="141" w:firstLine="708"/>
        <w:jc w:val="both"/>
      </w:pPr>
      <w:r>
        <w:t>Р=0, Z=0,</w:t>
      </w:r>
    </w:p>
    <w:p w:rsidR="000C5AE4" w:rsidRDefault="00CD0FF7">
      <w:pPr>
        <w:ind w:right="141" w:firstLine="708"/>
        <w:jc w:val="both"/>
      </w:pPr>
      <w:proofErr w:type="spellStart"/>
      <w:r>
        <w:t>Пр</w:t>
      </w:r>
      <w:proofErr w:type="spellEnd"/>
      <w:r>
        <w:t xml:space="preserve"> = (-12,2+24,0+24,0)/3= </w:t>
      </w:r>
      <w:r>
        <w:rPr>
          <w:b/>
        </w:rPr>
        <w:t>11,9 тыс. рублей</w:t>
      </w:r>
      <w:r>
        <w:t>.</w:t>
      </w:r>
    </w:p>
    <w:p w:rsidR="000C5AE4" w:rsidRDefault="00CD0FF7">
      <w:pPr>
        <w:ind w:right="141" w:firstLine="708"/>
        <w:jc w:val="both"/>
        <w:rPr>
          <w:b/>
        </w:rPr>
      </w:pPr>
      <w:r>
        <w:t>Ожидаемое поступление в 2025 году составит 97,5 тыс. рублей. В прогнозные 2026, 2027 и 2</w:t>
      </w:r>
      <w:r>
        <w:t xml:space="preserve">028 годы поступления планируются на уровне прогнозных показателей </w:t>
      </w:r>
      <w:r>
        <w:rPr>
          <w:b/>
        </w:rPr>
        <w:t>11,9 тыс. рублей ежегодно.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10. По КБК 026 1 16 01142 01 0000 140 «Административные штрафы, установленные Главой 14 Кодекса Российской Федерации об административных правонарушениях, за админ</w:t>
      </w:r>
      <w:r>
        <w:t>истративные правонарушения в области предпринимательской деятельности и деятельности саморегулируемых организаций, налагаемые должностными лицами органов исполнительной власти субъектов Российской Федерации, учреждениями субъектов Российской Федерации» про</w:t>
      </w:r>
      <w:r>
        <w:t xml:space="preserve">гнозируемое поступление доходов рассчитывается методом прямого расчета. </w:t>
      </w:r>
    </w:p>
    <w:p w:rsidR="000C5AE4" w:rsidRDefault="00CD0FF7">
      <w:pPr>
        <w:jc w:val="center"/>
        <w:rPr>
          <w:rFonts w:eastAsia="Times New Roman"/>
          <w:sz w:val="18"/>
          <w:szCs w:val="18"/>
          <w:lang w:val="en-US" w:eastAsia="ru-RU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ПР=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ср</m:t>
                  </m:r>
                </m:sub>
              </m:sSub>
            </m:e>
          </m:d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D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P</m:t>
          </m:r>
        </m:oMath>
      </m:oMathPara>
    </w:p>
    <w:p w:rsidR="000C5AE4" w:rsidRDefault="000C5AE4">
      <w:pPr>
        <w:jc w:val="center"/>
        <w:rPr>
          <w:rFonts w:eastAsia="Times New Roman"/>
          <w:sz w:val="18"/>
          <w:szCs w:val="18"/>
          <w:lang w:val="en-US" w:eastAsia="ru-RU"/>
        </w:rPr>
      </w:pPr>
    </w:p>
    <w:p w:rsidR="000C5AE4" w:rsidRDefault="00CD0FF7">
      <w:pPr>
        <w:ind w:right="141" w:firstLine="708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факт</m:t>
                  </m:r>
                </m:e>
              </m:nary>
            </m:num>
            <m:den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нач</m:t>
                  </m:r>
                </m:e>
              </m:nary>
            </m:den>
          </m:f>
        </m:oMath>
      </m:oMathPara>
    </w:p>
    <w:p w:rsidR="000C5AE4" w:rsidRDefault="00CD0FF7">
      <w:pPr>
        <w:ind w:right="141" w:firstLine="708"/>
        <w:jc w:val="both"/>
      </w:pPr>
      <w:r>
        <w:t>Где: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 - прогнозный объем поступлений;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Ri</w:t>
      </w:r>
      <w:r>
        <w:rPr>
          <w:rFonts w:eastAsia="Times New Roman"/>
          <w:szCs w:val="28"/>
          <w:lang w:eastAsia="ru-RU"/>
        </w:rPr>
        <w:t xml:space="preserve"> – фиксированный размер штрафа за </w:t>
      </w:r>
      <w:proofErr w:type="spellStart"/>
      <w:r>
        <w:rPr>
          <w:rFonts w:eastAsia="Times New Roman"/>
          <w:szCs w:val="28"/>
          <w:lang w:val="en-US" w:eastAsia="ru-RU"/>
        </w:rPr>
        <w:t>i</w:t>
      </w:r>
      <w:proofErr w:type="spellEnd"/>
      <w:r>
        <w:rPr>
          <w:rFonts w:eastAsia="Times New Roman"/>
          <w:szCs w:val="28"/>
          <w:lang w:eastAsia="ru-RU"/>
        </w:rPr>
        <w:t>-</w:t>
      </w:r>
      <w:proofErr w:type="spellStart"/>
      <w:r>
        <w:rPr>
          <w:rFonts w:eastAsia="Times New Roman"/>
          <w:szCs w:val="28"/>
          <w:lang w:eastAsia="ru-RU"/>
        </w:rPr>
        <w:t>ый</w:t>
      </w:r>
      <w:proofErr w:type="spellEnd"/>
      <w:r>
        <w:rPr>
          <w:rFonts w:eastAsia="Times New Roman"/>
          <w:szCs w:val="28"/>
          <w:lang w:eastAsia="ru-RU"/>
        </w:rPr>
        <w:t xml:space="preserve"> вид правонарушения (статья) в соответствии с КоАП РФ.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случае если </w:t>
      </w:r>
      <w:r>
        <w:rPr>
          <w:rFonts w:eastAsia="Times New Roman"/>
          <w:szCs w:val="28"/>
          <w:lang w:eastAsia="ru-RU"/>
        </w:rPr>
        <w:t>размер платежа установлен КоАП РФ в виде диапазона, то используется середина интервала, определенная путем сложения верхней и нижней границ интервала и деленная на два.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Q</w:t>
      </w:r>
      <w:r>
        <w:rPr>
          <w:rFonts w:eastAsia="Times New Roman"/>
          <w:szCs w:val="28"/>
          <w:lang w:eastAsia="ru-RU"/>
        </w:rPr>
        <w:t xml:space="preserve">ср – среднегодовое количество вынесенных постановлений, вступивших в законную силу за </w:t>
      </w:r>
      <w:proofErr w:type="spellStart"/>
      <w:r>
        <w:rPr>
          <w:rFonts w:eastAsia="Times New Roman"/>
          <w:szCs w:val="28"/>
          <w:lang w:val="en-US" w:eastAsia="ru-RU"/>
        </w:rPr>
        <w:t>i</w:t>
      </w:r>
      <w:proofErr w:type="spellEnd"/>
      <w:r>
        <w:rPr>
          <w:rFonts w:eastAsia="Times New Roman"/>
          <w:szCs w:val="28"/>
          <w:lang w:eastAsia="ru-RU"/>
        </w:rPr>
        <w:t>-</w:t>
      </w:r>
      <w:proofErr w:type="spellStart"/>
      <w:r>
        <w:rPr>
          <w:rFonts w:eastAsia="Times New Roman"/>
          <w:szCs w:val="28"/>
          <w:lang w:eastAsia="ru-RU"/>
        </w:rPr>
        <w:t>ый</w:t>
      </w:r>
      <w:proofErr w:type="spellEnd"/>
      <w:r>
        <w:rPr>
          <w:rFonts w:eastAsia="Times New Roman"/>
          <w:szCs w:val="28"/>
          <w:lang w:eastAsia="ru-RU"/>
        </w:rPr>
        <w:t xml:space="preserve"> вид правонарушения (статья) КоАП РФ, на основании данных не менее чем за 3 года или за весь период, если он не превышает 3 года, предшествующих текущему финансовому году;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 – коэффициент собираемости административных штрафов;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факт</m:t>
            </m:r>
          </m:e>
        </m:nary>
      </m:oMath>
      <w:r>
        <w:rPr>
          <w:rFonts w:eastAsia="Times New Roman"/>
          <w:szCs w:val="28"/>
          <w:lang w:eastAsia="ru-RU"/>
        </w:rPr>
        <w:t>- суммарный объем фак</w:t>
      </w:r>
      <w:proofErr w:type="spellStart"/>
      <w:r>
        <w:rPr>
          <w:rFonts w:eastAsia="Times New Roman"/>
          <w:szCs w:val="28"/>
          <w:lang w:eastAsia="ru-RU"/>
        </w:rPr>
        <w:t>тически</w:t>
      </w:r>
      <w:proofErr w:type="spellEnd"/>
      <w:r>
        <w:rPr>
          <w:rFonts w:eastAsia="Times New Roman"/>
          <w:szCs w:val="28"/>
          <w:lang w:eastAsia="ru-RU"/>
        </w:rPr>
        <w:t xml:space="preserve"> поступивших административных штрафов на основании данных не менее чем за 3 года или за весь период, если он не превышает 3 года предшествующих текущему финансовому году (за исключением дебиторской задолженности);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нач</m:t>
            </m:r>
          </m:e>
        </m:nary>
      </m:oMath>
      <w:r>
        <w:rPr>
          <w:rFonts w:eastAsia="Times New Roman"/>
          <w:szCs w:val="28"/>
          <w:lang w:eastAsia="ru-RU"/>
        </w:rPr>
        <w:t xml:space="preserve"> - суммарный объем начисленных а</w:t>
      </w:r>
      <w:proofErr w:type="spellStart"/>
      <w:r>
        <w:rPr>
          <w:rFonts w:eastAsia="Times New Roman"/>
          <w:szCs w:val="28"/>
          <w:lang w:eastAsia="ru-RU"/>
        </w:rPr>
        <w:t>дминистративных</w:t>
      </w:r>
      <w:proofErr w:type="spellEnd"/>
      <w:r>
        <w:rPr>
          <w:rFonts w:eastAsia="Times New Roman"/>
          <w:szCs w:val="28"/>
          <w:lang w:eastAsia="ru-RU"/>
        </w:rPr>
        <w:t xml:space="preserve"> штрафов на основании постановлений, вступивших в законную силу, соответствующего вида правонарушения на основании данных не менее чем за 3 года или за весь период, если он не превышает 3 года предшествующих текущему финансовому году;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D</w:t>
      </w:r>
      <w:r>
        <w:rPr>
          <w:rFonts w:eastAsia="Times New Roman"/>
          <w:szCs w:val="28"/>
          <w:lang w:eastAsia="ru-RU"/>
        </w:rPr>
        <w:t xml:space="preserve"> – оц</w:t>
      </w:r>
      <w:r>
        <w:rPr>
          <w:rFonts w:eastAsia="Times New Roman"/>
          <w:szCs w:val="28"/>
          <w:lang w:eastAsia="ru-RU"/>
        </w:rPr>
        <w:t>енка ожидаемых результатов работы по взысканию дебиторской задолженности по доходам (при наличии такой задолженности);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 – разовые факторы (при наличии) влияющие на сумму прогнозируемых поступлений.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При расчете прогнозного объема поступлений на текущий фин</w:t>
      </w:r>
      <w:r>
        <w:rPr>
          <w:rFonts w:eastAsia="Times New Roman"/>
          <w:szCs w:val="28"/>
          <w:lang w:eastAsia="ru-RU"/>
        </w:rPr>
        <w:t>ансовый год и плановый период используются данные за 3 года или за весь период поступления (начисления), если он не превышает 3 года, предшествующих текущему финансовому году.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 xml:space="preserve">По административным делам, возбужденным по фактам нарушений, предусмотренных </w:t>
      </w:r>
      <w:r>
        <w:rPr>
          <w:szCs w:val="28"/>
        </w:rPr>
        <w:t>статьями главы 14 КоАП РФ, ответственность по которым установлена в виде штрафов, вынесены постановления о назначении административных наказаний в виде предупреждений в отношении юридических лиц, являющихся субъектами малого и среднего предпринимательства,</w:t>
      </w:r>
      <w:r>
        <w:rPr>
          <w:szCs w:val="28"/>
        </w:rPr>
        <w:t xml:space="preserve"> а также за впервые совершенное административное правонарушение, выявленное в ходе осуществления государственного контроля (надзора) (в соответствии со ст. 4.1.1 КоАП РФ).</w:t>
      </w:r>
    </w:p>
    <w:p w:rsidR="000C5AE4" w:rsidRDefault="00CD0FF7">
      <w:pPr>
        <w:pStyle w:val="Style1"/>
        <w:widowControl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3 постановления Правительства Российской Федерации от 10.03</w:t>
      </w:r>
      <w:r>
        <w:rPr>
          <w:sz w:val="28"/>
          <w:szCs w:val="28"/>
        </w:rPr>
        <w:t>.2022 № 336 «Об особенностях организации и осуществления государственного контроля (надзора) муниципального контроля» (далее – постановление №336) установлено, что в 2022-2025 годах в рамках видов государственного контроля (надзора), муниципального контрол</w:t>
      </w:r>
      <w:r>
        <w:rPr>
          <w:sz w:val="28"/>
          <w:szCs w:val="28"/>
        </w:rPr>
        <w:t>я, порядок организации и осуществления которых регулируется Федеральным законом «О государственном контроле (надзоре) и муниципальном контроле в Российской Федерации» и Федеральным законом «О защите прав юридических лиц и индивидуальных предпринимателей пр</w:t>
      </w:r>
      <w:r>
        <w:rPr>
          <w:sz w:val="28"/>
          <w:szCs w:val="28"/>
        </w:rPr>
        <w:t>и осуществлении государственного контроля (надзора) и муниципального контроля» внеплановые контрольные (надзорные) мероприятия, внеплановые проверки проводятся исключительно при условии согласования с органами прокуратуры, при непосредственной угрозе причи</w:t>
      </w:r>
      <w:r>
        <w:rPr>
          <w:sz w:val="28"/>
          <w:szCs w:val="28"/>
        </w:rPr>
        <w:t>нения вреда жизни и тяжкого вреда здоровью граждан, по фактам причинения вреда жизни и тяжкого вреда здоровью граждан.</w:t>
      </w:r>
    </w:p>
    <w:p w:rsidR="000C5AE4" w:rsidRDefault="00CD0FF7">
      <w:pPr>
        <w:pStyle w:val="Style1"/>
        <w:widowControl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в 2023-2025 годах, министерством, работа по устранению нарушений норм действующего законодательства в области розничной пр</w:t>
      </w:r>
      <w:r>
        <w:rPr>
          <w:sz w:val="28"/>
          <w:szCs w:val="28"/>
        </w:rPr>
        <w:t xml:space="preserve">одажи алкогольной продукции проводится в соответствии с требованиями постановления № 336. </w:t>
      </w:r>
    </w:p>
    <w:p w:rsidR="000C5AE4" w:rsidRDefault="00CD0FF7">
      <w:pPr>
        <w:pStyle w:val="Style1"/>
        <w:widowControl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чем, основная работа устранения нарушений норм действующего законодательства, направлена на проведение профилактики нарушений обязательных требований указа</w:t>
      </w:r>
      <w:r>
        <w:rPr>
          <w:sz w:val="28"/>
          <w:szCs w:val="28"/>
        </w:rPr>
        <w:t xml:space="preserve">нных в обращениях граждан и организаций. </w:t>
      </w:r>
    </w:p>
    <w:p w:rsidR="000C5AE4" w:rsidRDefault="00CD0FF7">
      <w:pPr>
        <w:pStyle w:val="Style1"/>
        <w:widowControl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Всего в 2024 году при осуществлении регионального государственного контроля (надзор) в области розничной продажи алкогольной и спиртосодержащей продукции на территории Новосибирской области сотрудниками Минпромторг</w:t>
      </w:r>
      <w:r>
        <w:rPr>
          <w:sz w:val="28"/>
          <w:szCs w:val="28"/>
        </w:rPr>
        <w:t>а НСО по требованию прокуратуры Новосибирской области:</w:t>
      </w:r>
    </w:p>
    <w:p w:rsidR="000C5AE4" w:rsidRDefault="00CD0FF7">
      <w:pPr>
        <w:pStyle w:val="Style1"/>
        <w:widowControl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8 внеплановых выездных проверок;</w:t>
      </w:r>
    </w:p>
    <w:p w:rsidR="000C5AE4" w:rsidRDefault="00CD0FF7">
      <w:pPr>
        <w:pStyle w:val="Style1"/>
        <w:widowControl/>
        <w:ind w:right="6"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проведено 6 контрольных закупок.</w:t>
      </w:r>
    </w:p>
    <w:p w:rsidR="000C5AE4" w:rsidRDefault="00CD0FF7">
      <w:pPr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2024 году из районных прокуратур города Новосибирска и области, поступило в Минпромторг НСО для рассмотрения 2 постанов</w:t>
      </w:r>
      <w:r>
        <w:rPr>
          <w:rFonts w:eastAsia="Times New Roman"/>
          <w:szCs w:val="28"/>
          <w:lang w:eastAsia="ru-RU"/>
        </w:rPr>
        <w:t xml:space="preserve">лений районных прокуроров о возбуждении дел об административных правонарушениях в отношении организаций и индивидуальных предпринимателей по части 3 статьи </w:t>
      </w:r>
      <w:r>
        <w:rPr>
          <w:rFonts w:eastAsia="Times New Roman"/>
          <w:szCs w:val="28"/>
          <w:lang w:eastAsia="ru-RU"/>
        </w:rPr>
        <w:lastRenderedPageBreak/>
        <w:t>14.16 КоАП РФ «Нарушения особых требований и правил розничной продажи алкогольной продукции».</w:t>
      </w:r>
    </w:p>
    <w:p w:rsidR="000C5AE4" w:rsidRDefault="00CD0FF7">
      <w:pPr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По пос</w:t>
      </w:r>
      <w:r>
        <w:rPr>
          <w:rFonts w:eastAsia="Times New Roman"/>
          <w:szCs w:val="28"/>
          <w:lang w:eastAsia="ru-RU"/>
        </w:rPr>
        <w:t>тупившим на рассмотрение постановлениям, министерством вынесено постановление о назначении административного наказания, по которому вынесено штрафных санкций на сумму 20 тысяч рублей.</w:t>
      </w:r>
    </w:p>
    <w:p w:rsidR="000C5AE4" w:rsidRDefault="00CD0FF7">
      <w:pPr>
        <w:ind w:firstLine="851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Одно постановление передано по подведомственности мировому судье </w:t>
      </w:r>
      <w:r>
        <w:rPr>
          <w:rFonts w:eastAsia="Times New Roman"/>
          <w:szCs w:val="28"/>
          <w:lang w:eastAsia="ru-RU"/>
        </w:rPr>
        <w:t>судебного участка № 5 Октябрьского судебного района г. Новосибирска.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 xml:space="preserve">В 2024 году Минпромторгом НСО проведено 8 внеплановых выездных проверки по требованию прокуратуры НСО, из них, в 2 проверках установлены нарушения, возбуждены </w:t>
      </w:r>
      <w:r>
        <w:rPr>
          <w:rFonts w:eastAsia="Times New Roman"/>
          <w:szCs w:val="28"/>
          <w:lang w:eastAsia="ru-RU"/>
        </w:rPr>
        <w:t>дела об административных пра</w:t>
      </w:r>
      <w:r>
        <w:rPr>
          <w:rFonts w:eastAsia="Times New Roman"/>
          <w:szCs w:val="28"/>
          <w:lang w:eastAsia="ru-RU"/>
        </w:rPr>
        <w:t xml:space="preserve">вонарушениях в отношении организаций и индивидуальных предпринимателей по части 3 статьи 14.16 КоАП РФ. </w:t>
      </w:r>
      <w:r>
        <w:rPr>
          <w:szCs w:val="28"/>
        </w:rPr>
        <w:t xml:space="preserve">По итогам рассмотрения </w:t>
      </w:r>
      <w:r>
        <w:rPr>
          <w:rFonts w:eastAsia="Times New Roman"/>
          <w:szCs w:val="28"/>
          <w:lang w:eastAsia="ru-RU"/>
        </w:rPr>
        <w:t>дел об административных правонарушениях</w:t>
      </w:r>
      <w:r>
        <w:rPr>
          <w:szCs w:val="28"/>
        </w:rPr>
        <w:t xml:space="preserve"> вынесены постановления о назначении административного наказания в предупреждения.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Фактиче</w:t>
      </w:r>
      <w:r>
        <w:rPr>
          <w:szCs w:val="28"/>
        </w:rPr>
        <w:t>ские поступления составили: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2022 году – 0,0 тыс. рублей.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2023 году – 200,0 тыс. рублей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2024 году – 140,0 тыс. рублей.</w:t>
      </w:r>
    </w:p>
    <w:p w:rsidR="000C5AE4" w:rsidRDefault="00CD0FF7">
      <w:pPr>
        <w:ind w:right="141" w:firstLine="708"/>
        <w:jc w:val="both"/>
      </w:pPr>
      <w:r>
        <w:t>В январе-мае 2025 года поступления составляют 60,0 тыс. рублей, ожидаемое поступление в 2025 году – 60 тыс. рублей. В прогнозные 202</w:t>
      </w:r>
      <w:r>
        <w:t>6, 2027 и 2028 годы поступления спрогнозировать не представляется возможным.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11. По КБК 026 1 16 01143 01 0000 140 «Административные штрафы, установленные Главой 14 Кодекса Российской Федерации об административных правонарушениях, за административные прав</w:t>
      </w:r>
      <w:r>
        <w:t>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прав» прогнозируемое поступление доходов рассчитывается методом прямого расче</w:t>
      </w:r>
      <w:r>
        <w:t xml:space="preserve">та. </w:t>
      </w:r>
    </w:p>
    <w:p w:rsidR="000C5AE4" w:rsidRDefault="00CD0FF7">
      <w:pPr>
        <w:jc w:val="center"/>
        <w:rPr>
          <w:rFonts w:eastAsia="Times New Roman"/>
          <w:sz w:val="18"/>
          <w:szCs w:val="18"/>
          <w:lang w:val="en-US" w:eastAsia="ru-RU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ПР=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ср</m:t>
                  </m:r>
                </m:sub>
              </m:sSub>
            </m:e>
          </m:d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D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P</m:t>
          </m:r>
        </m:oMath>
      </m:oMathPara>
    </w:p>
    <w:p w:rsidR="000C5AE4" w:rsidRDefault="000C5AE4">
      <w:pPr>
        <w:jc w:val="center"/>
        <w:rPr>
          <w:rFonts w:eastAsia="Times New Roman"/>
          <w:sz w:val="18"/>
          <w:szCs w:val="18"/>
          <w:lang w:val="en-US" w:eastAsia="ru-RU"/>
        </w:rPr>
      </w:pPr>
    </w:p>
    <w:p w:rsidR="000C5AE4" w:rsidRDefault="00CD0FF7">
      <w:pPr>
        <w:ind w:right="141" w:firstLine="708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факт</m:t>
                  </m:r>
                </m:e>
              </m:nary>
            </m:num>
            <m:den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нач</m:t>
                  </m:r>
                </m:e>
              </m:nary>
            </m:den>
          </m:f>
        </m:oMath>
      </m:oMathPara>
    </w:p>
    <w:p w:rsidR="000C5AE4" w:rsidRDefault="00CD0FF7">
      <w:pPr>
        <w:ind w:right="141" w:firstLine="708"/>
        <w:jc w:val="both"/>
      </w:pPr>
      <w:r>
        <w:t>Где: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 - прогнозный объем поступлений;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Ri</w:t>
      </w:r>
      <w:r>
        <w:rPr>
          <w:rFonts w:eastAsia="Times New Roman"/>
          <w:szCs w:val="28"/>
          <w:lang w:eastAsia="ru-RU"/>
        </w:rPr>
        <w:t xml:space="preserve"> – фиксированный размер штрафа за </w:t>
      </w:r>
      <w:proofErr w:type="spellStart"/>
      <w:r>
        <w:rPr>
          <w:rFonts w:eastAsia="Times New Roman"/>
          <w:szCs w:val="28"/>
          <w:lang w:val="en-US" w:eastAsia="ru-RU"/>
        </w:rPr>
        <w:t>i</w:t>
      </w:r>
      <w:proofErr w:type="spellEnd"/>
      <w:r>
        <w:rPr>
          <w:rFonts w:eastAsia="Times New Roman"/>
          <w:szCs w:val="28"/>
          <w:lang w:eastAsia="ru-RU"/>
        </w:rPr>
        <w:t>-</w:t>
      </w:r>
      <w:proofErr w:type="spellStart"/>
      <w:r>
        <w:rPr>
          <w:rFonts w:eastAsia="Times New Roman"/>
          <w:szCs w:val="28"/>
          <w:lang w:eastAsia="ru-RU"/>
        </w:rPr>
        <w:t>ый</w:t>
      </w:r>
      <w:proofErr w:type="spellEnd"/>
      <w:r>
        <w:rPr>
          <w:rFonts w:eastAsia="Times New Roman"/>
          <w:szCs w:val="28"/>
          <w:lang w:eastAsia="ru-RU"/>
        </w:rPr>
        <w:t xml:space="preserve"> вид правонарушения (статья) в соответствии с КоАП РФ.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В случае если размер платежа установлен КоАП РФ в виде диапазона, то используется </w:t>
      </w:r>
      <w:r>
        <w:rPr>
          <w:rFonts w:eastAsia="Times New Roman"/>
          <w:szCs w:val="28"/>
          <w:lang w:eastAsia="ru-RU"/>
        </w:rPr>
        <w:t>середина интервала, определенная путем сложения верхней и нижней границ интервала и деленная на два.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Q</w:t>
      </w:r>
      <w:r>
        <w:rPr>
          <w:rFonts w:eastAsia="Times New Roman"/>
          <w:szCs w:val="28"/>
          <w:lang w:eastAsia="ru-RU"/>
        </w:rPr>
        <w:t xml:space="preserve">ср – среднегодовое количество вынесенных постановлений, вступивших в законную силу за </w:t>
      </w:r>
      <w:proofErr w:type="spellStart"/>
      <w:r>
        <w:rPr>
          <w:rFonts w:eastAsia="Times New Roman"/>
          <w:szCs w:val="28"/>
          <w:lang w:val="en-US" w:eastAsia="ru-RU"/>
        </w:rPr>
        <w:t>i</w:t>
      </w:r>
      <w:proofErr w:type="spellEnd"/>
      <w:r>
        <w:rPr>
          <w:rFonts w:eastAsia="Times New Roman"/>
          <w:szCs w:val="28"/>
          <w:lang w:eastAsia="ru-RU"/>
        </w:rPr>
        <w:t>-</w:t>
      </w:r>
      <w:proofErr w:type="spellStart"/>
      <w:r>
        <w:rPr>
          <w:rFonts w:eastAsia="Times New Roman"/>
          <w:szCs w:val="28"/>
          <w:lang w:eastAsia="ru-RU"/>
        </w:rPr>
        <w:t>ый</w:t>
      </w:r>
      <w:proofErr w:type="spellEnd"/>
      <w:r>
        <w:rPr>
          <w:rFonts w:eastAsia="Times New Roman"/>
          <w:szCs w:val="28"/>
          <w:lang w:eastAsia="ru-RU"/>
        </w:rPr>
        <w:t xml:space="preserve"> вид правонарушения (статья) КоАП РФ, на основании данных не мен</w:t>
      </w:r>
      <w:r>
        <w:rPr>
          <w:rFonts w:eastAsia="Times New Roman"/>
          <w:szCs w:val="28"/>
          <w:lang w:eastAsia="ru-RU"/>
        </w:rPr>
        <w:t>ее чем за 3 года или за весь период, если он не превышает 3 года, предшествующих текущему финансовому году;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 – коэффициент собираемости административных штрафов;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факт</m:t>
            </m:r>
          </m:e>
        </m:nary>
      </m:oMath>
      <w:r>
        <w:rPr>
          <w:rFonts w:eastAsia="Times New Roman"/>
          <w:szCs w:val="28"/>
          <w:lang w:eastAsia="ru-RU"/>
        </w:rPr>
        <w:t xml:space="preserve">- суммарный объем фактически поступивших административных штрафов на основании данных не </w:t>
      </w:r>
      <w:r>
        <w:rPr>
          <w:rFonts w:eastAsia="Times New Roman"/>
          <w:szCs w:val="28"/>
          <w:lang w:eastAsia="ru-RU"/>
        </w:rPr>
        <w:t>менее чем за 3 года или за весь период, если он не превышает 3 года предшествующих текущему финансовому году (за исключением дебиторской задолженности);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нач</m:t>
            </m:r>
          </m:e>
        </m:nary>
      </m:oMath>
      <w:r>
        <w:rPr>
          <w:rFonts w:eastAsia="Times New Roman"/>
          <w:szCs w:val="28"/>
          <w:lang w:eastAsia="ru-RU"/>
        </w:rPr>
        <w:t xml:space="preserve"> - суммарный объем начисленных административных штрафов на основании постановлений, вступивших в зак</w:t>
      </w:r>
      <w:proofErr w:type="spellStart"/>
      <w:r>
        <w:rPr>
          <w:rFonts w:eastAsia="Times New Roman"/>
          <w:szCs w:val="28"/>
          <w:lang w:eastAsia="ru-RU"/>
        </w:rPr>
        <w:t>онную</w:t>
      </w:r>
      <w:proofErr w:type="spellEnd"/>
      <w:r>
        <w:rPr>
          <w:rFonts w:eastAsia="Times New Roman"/>
          <w:szCs w:val="28"/>
          <w:lang w:eastAsia="ru-RU"/>
        </w:rPr>
        <w:t xml:space="preserve"> силу, соответствующего вида правонарушения на основании данных не менее чем за 3 года или за весь период, если он не превышает 3 года предшествующих текущему финансовому году;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D</w:t>
      </w:r>
      <w:r>
        <w:rPr>
          <w:rFonts w:eastAsia="Times New Roman"/>
          <w:szCs w:val="28"/>
          <w:lang w:eastAsia="ru-RU"/>
        </w:rPr>
        <w:t xml:space="preserve"> – оценка ожидаемых результатов работы по взысканию дебиторской задолженн</w:t>
      </w:r>
      <w:r>
        <w:rPr>
          <w:rFonts w:eastAsia="Times New Roman"/>
          <w:szCs w:val="28"/>
          <w:lang w:eastAsia="ru-RU"/>
        </w:rPr>
        <w:t>ости по доходам (при наличии такой задолженности);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 – разовые факторы (при наличии) влияющие на сумму прогнозируемых поступлений.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При расчете прогнозного объема поступлений на текущий финансовый год и плановый период используются данные за 3 года или за </w:t>
      </w:r>
      <w:r>
        <w:rPr>
          <w:rFonts w:eastAsia="Times New Roman"/>
          <w:szCs w:val="28"/>
          <w:lang w:eastAsia="ru-RU"/>
        </w:rPr>
        <w:t>весь период поступления (начисления), если он не превышает 3 года, предшествующих текущему финансовому году.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По административным делам, возбужденным по фактам нарушений, предусмотренных статьями главы 14 КоАП РФ, ответственность по которым установлена в ви</w:t>
      </w:r>
      <w:r>
        <w:rPr>
          <w:szCs w:val="28"/>
        </w:rPr>
        <w:t>де штрафов, вынесены постановления о назначении административных наказаний в виде предупреждений в отношении юридических лиц, являющихся субъектами малого и среднего предпринимательства, а также за впервые совершенное административное правонарушение, выявл</w:t>
      </w:r>
      <w:r>
        <w:rPr>
          <w:szCs w:val="28"/>
        </w:rPr>
        <w:t>енное в ходе осуществления государственного контроля (надзора)  (в соответствии со ст. 4.1.1 КоАП РФ).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 xml:space="preserve">В 2024 году общее количество судебных дел, стороной по которым выступал Минпромторг НСО, составило 12. 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 xml:space="preserve">Общая сумма назначенных в 2024 году судами штрафов по результатам рассмотрения заявлений Минпромторга НСО составила 17100 рублей. 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Значительное снижение в 2024 году количества судебных дел о привлечении контролируемых лиц к административной ответственности</w:t>
      </w:r>
      <w:r>
        <w:rPr>
          <w:szCs w:val="28"/>
        </w:rPr>
        <w:t xml:space="preserve"> обусловлено действием постановления Правительства Российской Федерации от 10.03.2022 № 336 «Об особенностях организации и осуществления государственного контроля (надзора), муниципального контроля», положения которого направлены на снижение административн</w:t>
      </w:r>
      <w:r>
        <w:rPr>
          <w:szCs w:val="28"/>
        </w:rPr>
        <w:t xml:space="preserve">ой нагрузки на бизнес, а также соблюдением взаимосвязанного с данным постановлением принципа стимулирования добросовестного соблюдения обязательных требований, установленного статьей 8 Федерального закона от 31.07.2020 № 248-ФЗ «О государственном контроле </w:t>
      </w:r>
      <w:r>
        <w:rPr>
          <w:szCs w:val="28"/>
        </w:rPr>
        <w:t>(надзоре) и муниципальном контроле в Российской Федерации», заключающегося в приоритете проведения профилактических мероприятий по отношению к проведению контрольных (надзорных) мероприятий.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Фактические поступления составили: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2022 году – 103,7 тыс. рубле</w:t>
      </w:r>
      <w:r>
        <w:rPr>
          <w:szCs w:val="28"/>
        </w:rPr>
        <w:t>й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2023 году - 0 рублей;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2024 году – 17,1 тыс. рублей.</w:t>
      </w:r>
    </w:p>
    <w:p w:rsidR="000C5AE4" w:rsidRDefault="000C5AE4">
      <w:pPr>
        <w:ind w:right="141" w:firstLine="708"/>
        <w:jc w:val="both"/>
        <w:rPr>
          <w:szCs w:val="28"/>
        </w:rPr>
      </w:pPr>
    </w:p>
    <w:p w:rsidR="000C5AE4" w:rsidRDefault="00CD0FF7">
      <w:pPr>
        <w:ind w:right="141" w:firstLine="708"/>
        <w:jc w:val="both"/>
        <w:rPr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факт</m:t>
            </m:r>
          </m:e>
        </m:nary>
      </m:oMath>
      <w:r>
        <w:rPr>
          <w:szCs w:val="28"/>
          <w:lang w:eastAsia="ru-RU"/>
        </w:rPr>
        <w:t xml:space="preserve"> = 103,7+0+17,1=120,1тыс. рублей.</w:t>
      </w:r>
    </w:p>
    <w:p w:rsidR="000C5AE4" w:rsidRDefault="00CD0FF7">
      <w:pPr>
        <w:ind w:right="141" w:firstLine="708"/>
        <w:jc w:val="both"/>
      </w:pPr>
      <w:r>
        <w:t xml:space="preserve">∑ </w:t>
      </w:r>
      <w:proofErr w:type="spellStart"/>
      <w:r>
        <w:t>нач</w:t>
      </w:r>
      <w:proofErr w:type="spellEnd"/>
      <w:r>
        <w:t xml:space="preserve"> = 90+30+00 = 120,0 тыс. рублей (назначено мировыми судьями штрафов в период: 2022 – 90 тыс. рублей, 2023 - 30 тыс. рублей, 2024 – 0 тыс. рублей).</w:t>
      </w:r>
    </w:p>
    <w:p w:rsidR="000C5AE4" w:rsidRDefault="00CD0FF7">
      <w:pPr>
        <w:ind w:right="141" w:firstLine="708"/>
        <w:jc w:val="both"/>
      </w:pPr>
      <w:r>
        <w:t>К= 120,</w:t>
      </w:r>
      <w:r>
        <w:t>1/120 = 1</w:t>
      </w:r>
    </w:p>
    <w:p w:rsidR="000C5AE4" w:rsidRDefault="00CD0FF7">
      <w:pPr>
        <w:ind w:right="141" w:firstLine="708"/>
        <w:jc w:val="both"/>
      </w:pPr>
      <w:r>
        <w:t>D= 0</w:t>
      </w:r>
    </w:p>
    <w:p w:rsidR="000C5AE4" w:rsidRDefault="00CD0FF7">
      <w:pPr>
        <w:ind w:right="141" w:firstLine="708"/>
        <w:jc w:val="both"/>
      </w:pPr>
      <w:r>
        <w:t>Р= 0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ПР= 120/3*1= 40 тыс. рублей в 2025, 2026, 2027 годах.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В 2025 году платежи за 5 месяцев составили 10,0 тыс. рублей, оценка доходов в 2025 году составляет 49,1 тыс. рублей. В прогнозные 2026, 2027 и 2028 годы поступления составят 40,0 т</w:t>
      </w:r>
      <w:r>
        <w:t>ыс. рублей ежегодно.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12. По КБК 026 1 16 01152 01 0000 140 «Административные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</w:t>
      </w:r>
      <w:r>
        <w:t>ания, рынка ценных бумаг (за исключением штрафов, указанных в пункте 6 статьи 46 Бюджетного кодекса Российской Федерации), налагаемые должностными лицами органов исполнительной власти субъектов Российской Федерации, учреждениями субъектов Российской Федера</w:t>
      </w:r>
      <w:r>
        <w:t>ции»; бюджет штрафы не поступали по следующим причинам:</w:t>
      </w:r>
    </w:p>
    <w:p w:rsidR="000C5AE4" w:rsidRDefault="00CD0FF7">
      <w:pPr>
        <w:ind w:right="141" w:firstLine="708"/>
        <w:jc w:val="both"/>
      </w:pPr>
      <w:r>
        <w:t>Административные дела по фактам нарушений, предусмотренных статьёй 15.13 «Искажение информации и (или) нарушение порядка и сроков при декларировании производства, оборота и (или) использования этилово</w:t>
      </w:r>
      <w:r>
        <w:t>го спирта, алкогольной и спиртосодержащей продукции, использования производственных мощностей» главы 15 КоАП РФ не возбуждались, в виду того, что субъектами правонарушений являются только юридические лица и индивидуальные предприниматели, осуществляющие де</w:t>
      </w:r>
      <w:r>
        <w:t xml:space="preserve">ятельность по оказанию услуг  общественного питания, а также юридические лица и индивидуальные предприниматели, осуществляющие деятельность по розничной продаже пива, пивных напитков (сидра, </w:t>
      </w:r>
      <w:proofErr w:type="spellStart"/>
      <w:r>
        <w:t>пуаре</w:t>
      </w:r>
      <w:proofErr w:type="spellEnd"/>
      <w:r>
        <w:t>, медовухи), кроме того, по административным делам, возбужде</w:t>
      </w:r>
      <w:r>
        <w:t>нным по фактам нарушений, предусмотренных статьями главы 15 КоАП РФ, ответственность по которым установлена в виде штрафов, выносятся постановления о назначении административных наказаний в виде предупреждений в отношении юридических лиц, являющихся субъек</w:t>
      </w:r>
      <w:r>
        <w:t>тами малого и среднего предпринимательства, а также в отношении юридических лиц и индивидуальных предпринимателей -  за впервые совершенное административное правонарушение, выявленное в ходе осуществления государственного контроля (надзора)  (в соответстви</w:t>
      </w:r>
      <w:r>
        <w:t>и со ст. 4.1.1 КоАП РФ).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 xml:space="preserve">В силу моратория на проведение контрольно-надзорных мероприятий введенного постановлением № 336, в 2022-2025 годах внеплановые выездные проверки, согласованные с Прокуратурой НСО, </w:t>
      </w:r>
      <w:r>
        <w:t xml:space="preserve">по признакам нарушений, </w:t>
      </w:r>
      <w:r>
        <w:lastRenderedPageBreak/>
        <w:t>предусмотренных статьями гл</w:t>
      </w:r>
      <w:r>
        <w:t>авы 15 КоАП РФ, Минпромторгом НСО,</w:t>
      </w:r>
      <w:r>
        <w:rPr>
          <w:szCs w:val="28"/>
        </w:rPr>
        <w:t xml:space="preserve"> не проводились.</w:t>
      </w:r>
    </w:p>
    <w:p w:rsidR="000C5AE4" w:rsidRDefault="00CD0FF7">
      <w:pPr>
        <w:ind w:right="141" w:firstLine="708"/>
        <w:jc w:val="both"/>
      </w:pPr>
      <w:r>
        <w:t>Ожидаемые поступления в 2025 году и прогнозные 2026, 2027 и 2028 годы не планируются в связи с отсутствием решений об уплате административных штрафов на этот период.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 xml:space="preserve">13. По КБК 026 1 16 01153 01 0000 140 </w:t>
      </w:r>
      <w:r>
        <w:t xml:space="preserve">«Административные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</w:t>
      </w:r>
      <w:r>
        <w:t xml:space="preserve">в пункте 6 статьи 46 Бюджетного кодекса Российской Федерации), налагаемые мировыми судьями, комиссиями по делам несовершеннолетних и защите их прав» прогнозируемое поступление доходов рассчитывается методом прямого расчета. </w:t>
      </w:r>
    </w:p>
    <w:p w:rsidR="000C5AE4" w:rsidRDefault="00CD0FF7">
      <w:pPr>
        <w:jc w:val="center"/>
        <w:rPr>
          <w:rFonts w:eastAsia="Times New Roman"/>
          <w:sz w:val="18"/>
          <w:szCs w:val="18"/>
          <w:lang w:val="en-US" w:eastAsia="ru-RU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ПР=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ср</m:t>
                  </m:r>
                </m:sub>
              </m:sSub>
            </m:e>
          </m:d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D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P</m:t>
          </m:r>
        </m:oMath>
      </m:oMathPara>
    </w:p>
    <w:p w:rsidR="000C5AE4" w:rsidRDefault="000C5AE4">
      <w:pPr>
        <w:jc w:val="center"/>
        <w:rPr>
          <w:rFonts w:eastAsia="Times New Roman"/>
          <w:sz w:val="18"/>
          <w:szCs w:val="18"/>
          <w:lang w:val="en-US" w:eastAsia="ru-RU"/>
        </w:rPr>
      </w:pPr>
    </w:p>
    <w:p w:rsidR="000C5AE4" w:rsidRDefault="00CD0FF7">
      <w:pPr>
        <w:ind w:right="141" w:firstLine="708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факт</m:t>
                  </m:r>
                </m:e>
              </m:nary>
            </m:num>
            <m:den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нач</m:t>
                  </m:r>
                </m:e>
              </m:nary>
            </m:den>
          </m:f>
        </m:oMath>
      </m:oMathPara>
    </w:p>
    <w:p w:rsidR="000C5AE4" w:rsidRDefault="00CD0FF7">
      <w:pPr>
        <w:ind w:right="141" w:firstLine="708"/>
        <w:jc w:val="both"/>
      </w:pPr>
      <w:r>
        <w:t>Где: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ПР - прогнозный объем поступлений;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Ri</w:t>
      </w:r>
      <w:r>
        <w:rPr>
          <w:rFonts w:eastAsia="Times New Roman"/>
          <w:szCs w:val="28"/>
          <w:lang w:eastAsia="ru-RU"/>
        </w:rPr>
        <w:t xml:space="preserve"> – фиксированный размер штрафа за </w:t>
      </w:r>
      <w:proofErr w:type="spellStart"/>
      <w:r>
        <w:rPr>
          <w:rFonts w:eastAsia="Times New Roman"/>
          <w:szCs w:val="28"/>
          <w:lang w:val="en-US" w:eastAsia="ru-RU"/>
        </w:rPr>
        <w:t>i</w:t>
      </w:r>
      <w:proofErr w:type="spellEnd"/>
      <w:r>
        <w:rPr>
          <w:rFonts w:eastAsia="Times New Roman"/>
          <w:szCs w:val="28"/>
          <w:lang w:eastAsia="ru-RU"/>
        </w:rPr>
        <w:t>-</w:t>
      </w:r>
      <w:proofErr w:type="spellStart"/>
      <w:r>
        <w:rPr>
          <w:rFonts w:eastAsia="Times New Roman"/>
          <w:szCs w:val="28"/>
          <w:lang w:eastAsia="ru-RU"/>
        </w:rPr>
        <w:t>ый</w:t>
      </w:r>
      <w:proofErr w:type="spellEnd"/>
      <w:r>
        <w:rPr>
          <w:rFonts w:eastAsia="Times New Roman"/>
          <w:szCs w:val="28"/>
          <w:lang w:eastAsia="ru-RU"/>
        </w:rPr>
        <w:t xml:space="preserve"> вид правонарушения (статья) в соответствии с КоАП РФ.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случае если размер платежа установлен КоАП РФ в виде диапазона, то используется середина интервала, определенная пу</w:t>
      </w:r>
      <w:r>
        <w:rPr>
          <w:rFonts w:eastAsia="Times New Roman"/>
          <w:szCs w:val="28"/>
          <w:lang w:eastAsia="ru-RU"/>
        </w:rPr>
        <w:t>тем сложения верхней и нижней границ интервала и деленная на два.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Q</w:t>
      </w:r>
      <w:r>
        <w:rPr>
          <w:rFonts w:eastAsia="Times New Roman"/>
          <w:szCs w:val="28"/>
          <w:lang w:eastAsia="ru-RU"/>
        </w:rPr>
        <w:t xml:space="preserve">ср – среднегодовое количество вынесенных постановлений, вступивших в законную силу за </w:t>
      </w:r>
      <w:proofErr w:type="spellStart"/>
      <w:r>
        <w:rPr>
          <w:rFonts w:eastAsia="Times New Roman"/>
          <w:szCs w:val="28"/>
          <w:lang w:val="en-US" w:eastAsia="ru-RU"/>
        </w:rPr>
        <w:t>i</w:t>
      </w:r>
      <w:proofErr w:type="spellEnd"/>
      <w:r>
        <w:rPr>
          <w:rFonts w:eastAsia="Times New Roman"/>
          <w:szCs w:val="28"/>
          <w:lang w:eastAsia="ru-RU"/>
        </w:rPr>
        <w:t>-</w:t>
      </w:r>
      <w:proofErr w:type="spellStart"/>
      <w:r>
        <w:rPr>
          <w:rFonts w:eastAsia="Times New Roman"/>
          <w:szCs w:val="28"/>
          <w:lang w:eastAsia="ru-RU"/>
        </w:rPr>
        <w:t>ый</w:t>
      </w:r>
      <w:proofErr w:type="spellEnd"/>
      <w:r>
        <w:rPr>
          <w:rFonts w:eastAsia="Times New Roman"/>
          <w:szCs w:val="28"/>
          <w:lang w:eastAsia="ru-RU"/>
        </w:rPr>
        <w:t xml:space="preserve"> вид правонарушения (статья) КоАП РФ, на основании данных не менее чем за 3 года или за весь </w:t>
      </w:r>
      <w:r>
        <w:rPr>
          <w:rFonts w:eastAsia="Times New Roman"/>
          <w:szCs w:val="28"/>
          <w:lang w:eastAsia="ru-RU"/>
        </w:rPr>
        <w:t>период, если он не превышает 3 года, предшествующих текущему финансовому году;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 – коэффициент собираемости административных штрафов;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факт</m:t>
            </m:r>
          </m:e>
        </m:nary>
      </m:oMath>
      <w:r>
        <w:rPr>
          <w:rFonts w:eastAsia="Times New Roman"/>
          <w:szCs w:val="28"/>
          <w:lang w:eastAsia="ru-RU"/>
        </w:rPr>
        <w:t>- суммарный объем фактически поступивших административных штрафов на основании данных не менее чем за 3 года или за ве</w:t>
      </w:r>
      <w:proofErr w:type="spellStart"/>
      <w:r>
        <w:rPr>
          <w:rFonts w:eastAsia="Times New Roman"/>
          <w:szCs w:val="28"/>
          <w:lang w:eastAsia="ru-RU"/>
        </w:rPr>
        <w:t>сь</w:t>
      </w:r>
      <w:proofErr w:type="spellEnd"/>
      <w:r>
        <w:rPr>
          <w:rFonts w:eastAsia="Times New Roman"/>
          <w:szCs w:val="28"/>
          <w:lang w:eastAsia="ru-RU"/>
        </w:rPr>
        <w:t xml:space="preserve"> период, если он не превышает 3 года предшествующих текущему финансовому году (за исключением дебиторской задолженности);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нач</m:t>
            </m:r>
          </m:e>
        </m:nary>
      </m:oMath>
      <w:r>
        <w:rPr>
          <w:rFonts w:eastAsia="Times New Roman"/>
          <w:szCs w:val="28"/>
          <w:lang w:eastAsia="ru-RU"/>
        </w:rPr>
        <w:t xml:space="preserve"> - суммарный объем начисленных административных штрафов на основании постановлений, вступивших в законную силу, соответствующего </w:t>
      </w:r>
      <w:r>
        <w:rPr>
          <w:rFonts w:eastAsia="Times New Roman"/>
          <w:szCs w:val="28"/>
          <w:lang w:eastAsia="ru-RU"/>
        </w:rPr>
        <w:t>вида правонарушения на основании данных не менее чем за 3 года или за весь период, если он не превышает 3 года предшествующих текущему финансовому году;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D</w:t>
      </w:r>
      <w:r>
        <w:rPr>
          <w:rFonts w:eastAsia="Times New Roman"/>
          <w:szCs w:val="28"/>
          <w:lang w:eastAsia="ru-RU"/>
        </w:rPr>
        <w:t xml:space="preserve"> – оценка ожидаемых результатов работы по взысканию дебиторской задолженности по доходам (при наличии </w:t>
      </w:r>
      <w:r>
        <w:rPr>
          <w:rFonts w:eastAsia="Times New Roman"/>
          <w:szCs w:val="28"/>
          <w:lang w:eastAsia="ru-RU"/>
        </w:rPr>
        <w:t>такой задолженности);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 – разовые факторы (при наличии) влияющие на сумму прогнозируемых поступлений.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При расчете прогнозного объема поступлений на текущий финансовый год и плановый период используются данные за 3 года или за весь период </w:t>
      </w:r>
      <w:r>
        <w:rPr>
          <w:rFonts w:eastAsia="Times New Roman"/>
          <w:szCs w:val="28"/>
          <w:lang w:eastAsia="ru-RU"/>
        </w:rPr>
        <w:lastRenderedPageBreak/>
        <w:t>поступления (начис</w:t>
      </w:r>
      <w:r>
        <w:rPr>
          <w:rFonts w:eastAsia="Times New Roman"/>
          <w:szCs w:val="28"/>
          <w:lang w:eastAsia="ru-RU"/>
        </w:rPr>
        <w:t>ления), если он не превышает 3 года, предшествующих текущему финансовому году.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силу моратория на проведение контрольно-надзорных мероприятий введенного постановлением № 336, в 2022-2025 годах внеплановые выездные проверки, согласованные с прокуратурой НС</w:t>
      </w:r>
      <w:r>
        <w:rPr>
          <w:szCs w:val="28"/>
        </w:rPr>
        <w:t xml:space="preserve">О, </w:t>
      </w:r>
      <w:r>
        <w:t>по признакам нарушений, предусмотренных статьями главы 15 КоАП РФ, Минпромторгом НСО,</w:t>
      </w:r>
      <w:r>
        <w:rPr>
          <w:szCs w:val="28"/>
        </w:rPr>
        <w:t xml:space="preserve"> не проводились.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Фактические поступления составили: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2022 году – 20,5 тыс. рублей.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2023 году – 115,0 тыс. рублей.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2024 году – 0 тыс. рублей.</w:t>
      </w:r>
    </w:p>
    <w:p w:rsidR="000C5AE4" w:rsidRDefault="000C5AE4">
      <w:pPr>
        <w:ind w:right="141" w:firstLine="708"/>
        <w:jc w:val="both"/>
        <w:rPr>
          <w:szCs w:val="28"/>
        </w:rPr>
      </w:pPr>
    </w:p>
    <w:p w:rsidR="000C5AE4" w:rsidRDefault="00CD0FF7">
      <w:pPr>
        <w:ind w:right="141" w:firstLine="708"/>
        <w:jc w:val="both"/>
        <w:rPr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факт</m:t>
            </m:r>
          </m:e>
        </m:nary>
      </m:oMath>
      <w:r>
        <w:rPr>
          <w:szCs w:val="28"/>
          <w:lang w:eastAsia="ru-RU"/>
        </w:rPr>
        <w:t xml:space="preserve"> =20,5+115+0 = 13</w:t>
      </w:r>
      <w:r>
        <w:rPr>
          <w:szCs w:val="28"/>
          <w:lang w:eastAsia="ru-RU"/>
        </w:rPr>
        <w:t>5,5 тыс. рублей.</w:t>
      </w:r>
    </w:p>
    <w:p w:rsidR="000C5AE4" w:rsidRDefault="00CD0FF7">
      <w:pPr>
        <w:ind w:right="141" w:firstLine="708"/>
        <w:jc w:val="both"/>
      </w:pPr>
      <w:r>
        <w:t xml:space="preserve">∑ </w:t>
      </w:r>
      <w:proofErr w:type="spellStart"/>
      <w:r>
        <w:t>нач</w:t>
      </w:r>
      <w:proofErr w:type="spellEnd"/>
      <w:r>
        <w:t xml:space="preserve"> =60 + 0+ 0 = 60 тыс. рублей. </w:t>
      </w:r>
    </w:p>
    <w:p w:rsidR="000C5AE4" w:rsidRDefault="00CD0FF7">
      <w:pPr>
        <w:ind w:right="141" w:firstLine="708"/>
        <w:jc w:val="both"/>
      </w:pPr>
      <w:r>
        <w:t>К= 135,5 /60,0 = 2,26</w:t>
      </w:r>
    </w:p>
    <w:p w:rsidR="000C5AE4" w:rsidRDefault="00CD0FF7">
      <w:pPr>
        <w:ind w:right="141" w:firstLine="708"/>
        <w:jc w:val="both"/>
      </w:pPr>
      <w:r>
        <w:t>D= 0</w:t>
      </w:r>
    </w:p>
    <w:p w:rsidR="000C5AE4" w:rsidRDefault="00CD0FF7">
      <w:pPr>
        <w:ind w:right="141" w:firstLine="708"/>
        <w:jc w:val="both"/>
      </w:pPr>
      <w:r>
        <w:t>Р= 0</w:t>
      </w:r>
    </w:p>
    <w:p w:rsidR="000C5AE4" w:rsidRDefault="00CD0FF7">
      <w:pPr>
        <w:ind w:right="141" w:firstLine="708"/>
        <w:jc w:val="both"/>
      </w:pPr>
      <w:r>
        <w:t>ПР= 60/3*2,26= 45,2 тыс. рублей в 2026, 2027, 2028 годах.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 xml:space="preserve">За 5 месяцев 2025 года платежи не производились, доходы в 2025 году оцениваются на уровне 0,0 тыс. рублей. В </w:t>
      </w:r>
      <w:r>
        <w:t>прогнозные 2026, 2027 и 2028 годы поступления составят 45,2 тыс. рублей ежегодно.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По КБК 026 1 16 01203 01 0000 140 «</w:t>
      </w:r>
      <w:r>
        <w:rPr>
          <w:szCs w:val="28"/>
          <w:lang w:eastAsia="ru-RU"/>
        </w:rPr>
        <w:t xml:space="preserve">Административные штрафы, установленные </w:t>
      </w:r>
      <w:hyperlink r:id="rId7">
        <w:r>
          <w:rPr>
            <w:szCs w:val="28"/>
            <w:lang w:eastAsia="ru-RU"/>
          </w:rPr>
          <w:t>главой 20</w:t>
        </w:r>
      </w:hyperlink>
      <w:r>
        <w:rPr>
          <w:szCs w:val="28"/>
          <w:lang w:eastAsia="ru-RU"/>
        </w:rPr>
        <w:t xml:space="preserve">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</w:r>
      <w:r>
        <w:rPr>
          <w:szCs w:val="28"/>
        </w:rPr>
        <w:t xml:space="preserve">». </w:t>
      </w:r>
    </w:p>
    <w:p w:rsidR="000C5AE4" w:rsidRDefault="00CD0FF7">
      <w:pPr>
        <w:ind w:firstLine="709"/>
        <w:jc w:val="both"/>
        <w:rPr>
          <w:szCs w:val="28"/>
        </w:rPr>
      </w:pPr>
      <w:r>
        <w:rPr>
          <w:szCs w:val="28"/>
        </w:rPr>
        <w:t>В</w:t>
      </w:r>
      <w:r>
        <w:rPr>
          <w:szCs w:val="28"/>
        </w:rPr>
        <w:t xml:space="preserve"> прогнозные 2026, 2027 и 2028 годы поступления доходов спрогнозировать не представляется возможным.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14. По КБК 026 1 16 01205 01 0000 140 «Административные штрафы, установленные главой 20 Кодекса Российской Федерации об административных правонарушениях, з</w:t>
      </w:r>
      <w:r>
        <w:t>а административные правонарушения, посягающие на общественный порядок и общественную безопасность, выявленные должностными лицами органов исполнительной власти Российской Федерации, включенных в соответствующие перечни, утвержденные высшими должностными ли</w:t>
      </w:r>
      <w:r>
        <w:t xml:space="preserve">цами (руководителями высших исполнительных органов государственной власти) субъектов Российской Федерации» ожидаемый объем поступлений определяется методом прямого расчета. </w:t>
      </w:r>
    </w:p>
    <w:p w:rsidR="000C5AE4" w:rsidRDefault="00CD0FF7">
      <w:pPr>
        <w:jc w:val="center"/>
        <w:rPr>
          <w:rFonts w:eastAsia="Times New Roman"/>
          <w:sz w:val="18"/>
          <w:szCs w:val="18"/>
          <w:lang w:val="en-US" w:eastAsia="ru-RU"/>
        </w:rPr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ПР=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sSub>
                    <m:sSubPr>
                      <m:ctrlPr>
                        <w:rPr>
                          <w:rFonts w:ascii="Cambria Math" w:hAnsi="Cambria Math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</w:rPr>
                        <m:t>R</m:t>
                      </m:r>
                    </m:e>
                    <m:sub>
                      <m:r>
                        <w:rPr>
                          <w:rFonts w:ascii="Cambria Math" w:hAnsi="Cambria Math"/>
                        </w:rPr>
                        <m:t>i</m:t>
                      </m:r>
                    </m:sub>
                  </m:sSub>
                </m:e>
              </m:nary>
              <m:r>
                <w:rPr>
                  <w:rFonts w:ascii="Cambria Math" w:hAnsi="Cambria Math"/>
                </w:rPr>
                <m:t>*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w:rPr>
                      <w:rFonts w:ascii="Cambria Math" w:hAnsi="Cambria Math"/>
                    </w:rPr>
                    <m:t>ср</m:t>
                  </m:r>
                </m:sub>
              </m:sSub>
            </m:e>
          </m:d>
          <m:r>
            <w:rPr>
              <w:rFonts w:ascii="Cambria Math" w:hAnsi="Cambria Math"/>
            </w:rPr>
            <m:t>*</m:t>
          </m:r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+</m:t>
          </m:r>
          <m:r>
            <w:rPr>
              <w:rFonts w:ascii="Cambria Math" w:hAnsi="Cambria Math"/>
            </w:rPr>
            <m:t>D</m:t>
          </m:r>
          <m:r>
            <w:rPr>
              <w:rFonts w:ascii="Cambria Math" w:hAnsi="Cambria Math"/>
            </w:rPr>
            <m:t>-</m:t>
          </m:r>
          <m:r>
            <w:rPr>
              <w:rFonts w:ascii="Cambria Math" w:hAnsi="Cambria Math"/>
            </w:rPr>
            <m:t>P</m:t>
          </m:r>
        </m:oMath>
      </m:oMathPara>
    </w:p>
    <w:p w:rsidR="000C5AE4" w:rsidRDefault="000C5AE4">
      <w:pPr>
        <w:jc w:val="center"/>
        <w:rPr>
          <w:rFonts w:eastAsia="Times New Roman"/>
          <w:sz w:val="18"/>
          <w:szCs w:val="18"/>
          <w:lang w:val="en-US" w:eastAsia="ru-RU"/>
        </w:rPr>
      </w:pPr>
    </w:p>
    <w:p w:rsidR="000C5AE4" w:rsidRDefault="00CD0FF7">
      <w:pPr>
        <w:ind w:right="141" w:firstLine="708"/>
        <w:jc w:val="center"/>
      </w:pPr>
      <m:oMathPara>
        <m:oMathParaPr>
          <m:jc m:val="center"/>
        </m:oMathParaPr>
        <m:oMath>
          <m:r>
            <w:rPr>
              <w:rFonts w:ascii="Cambria Math" w:hAnsi="Cambria Math"/>
            </w:rPr>
            <m:t>K</m:t>
          </m:r>
          <m:r>
            <w:rPr>
              <w:rFonts w:ascii="Cambria Math" w:hAnsi="Cambria Math"/>
            </w:rPr>
            <m:t>=</m:t>
          </m:r>
          <m:f>
            <m:fPr>
              <m:ctrlPr>
                <w:rPr>
                  <w:rFonts w:ascii="Cambria Math" w:hAnsi="Cambria Math"/>
                </w:rPr>
              </m:ctrlPr>
            </m:fPr>
            <m:num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факт</m:t>
                  </m:r>
                </m:e>
              </m:nary>
            </m:num>
            <m:den>
              <m:nary>
                <m:naryPr>
                  <m:chr m:val="∑"/>
                  <m:subHide m:val="1"/>
                  <m:supHide m:val="1"/>
                  <m:ctrlPr>
                    <w:rPr>
                      <w:rFonts w:ascii="Cambria Math" w:hAnsi="Cambria Math"/>
                    </w:rPr>
                  </m:ctrlPr>
                </m:naryPr>
                <m:sub/>
                <m:sup/>
                <m:e>
                  <m:r>
                    <w:rPr>
                      <w:rFonts w:ascii="Cambria Math" w:hAnsi="Cambria Math"/>
                    </w:rPr>
                    <m:t>нач</m:t>
                  </m:r>
                </m:e>
              </m:nary>
            </m:den>
          </m:f>
        </m:oMath>
      </m:oMathPara>
    </w:p>
    <w:p w:rsidR="000C5AE4" w:rsidRDefault="00CD0FF7">
      <w:pPr>
        <w:ind w:right="141" w:firstLine="708"/>
        <w:jc w:val="both"/>
      </w:pPr>
      <w:r>
        <w:t>Где: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lastRenderedPageBreak/>
        <w:t>ПР - прогнозный объем поступлений;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Ri</w:t>
      </w:r>
      <w:r>
        <w:rPr>
          <w:rFonts w:eastAsia="Times New Roman"/>
          <w:szCs w:val="28"/>
          <w:lang w:eastAsia="ru-RU"/>
        </w:rPr>
        <w:t xml:space="preserve"> – фиксированный размер штрафа за </w:t>
      </w:r>
      <w:proofErr w:type="spellStart"/>
      <w:r>
        <w:rPr>
          <w:rFonts w:eastAsia="Times New Roman"/>
          <w:szCs w:val="28"/>
          <w:lang w:val="en-US" w:eastAsia="ru-RU"/>
        </w:rPr>
        <w:t>i</w:t>
      </w:r>
      <w:proofErr w:type="spellEnd"/>
      <w:r>
        <w:rPr>
          <w:rFonts w:eastAsia="Times New Roman"/>
          <w:szCs w:val="28"/>
          <w:lang w:eastAsia="ru-RU"/>
        </w:rPr>
        <w:t>-</w:t>
      </w:r>
      <w:proofErr w:type="spellStart"/>
      <w:r>
        <w:rPr>
          <w:rFonts w:eastAsia="Times New Roman"/>
          <w:szCs w:val="28"/>
          <w:lang w:eastAsia="ru-RU"/>
        </w:rPr>
        <w:t>ый</w:t>
      </w:r>
      <w:proofErr w:type="spellEnd"/>
      <w:r>
        <w:rPr>
          <w:rFonts w:eastAsia="Times New Roman"/>
          <w:szCs w:val="28"/>
          <w:lang w:eastAsia="ru-RU"/>
        </w:rPr>
        <w:t xml:space="preserve"> вид правонарушения (статья) в соответствии с КоАП РФ.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В случае если размер платежа установлен КоАП РФ в виде диапазона, то используется середина интервала, определенная путем сложения верхней и нижней границ интервала</w:t>
      </w:r>
      <w:r>
        <w:rPr>
          <w:rFonts w:eastAsia="Times New Roman"/>
          <w:szCs w:val="28"/>
          <w:lang w:eastAsia="ru-RU"/>
        </w:rPr>
        <w:t xml:space="preserve"> и деленная на два.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Q</w:t>
      </w:r>
      <w:r>
        <w:rPr>
          <w:rFonts w:eastAsia="Times New Roman"/>
          <w:szCs w:val="28"/>
          <w:lang w:eastAsia="ru-RU"/>
        </w:rPr>
        <w:t xml:space="preserve">ср – среднегодовое количество вынесенных постановлений, вступивших в законную силу за </w:t>
      </w:r>
      <w:proofErr w:type="spellStart"/>
      <w:r>
        <w:rPr>
          <w:rFonts w:eastAsia="Times New Roman"/>
          <w:szCs w:val="28"/>
          <w:lang w:val="en-US" w:eastAsia="ru-RU"/>
        </w:rPr>
        <w:t>i</w:t>
      </w:r>
      <w:proofErr w:type="spellEnd"/>
      <w:r>
        <w:rPr>
          <w:rFonts w:eastAsia="Times New Roman"/>
          <w:szCs w:val="28"/>
          <w:lang w:eastAsia="ru-RU"/>
        </w:rPr>
        <w:t>-</w:t>
      </w:r>
      <w:proofErr w:type="spellStart"/>
      <w:r>
        <w:rPr>
          <w:rFonts w:eastAsia="Times New Roman"/>
          <w:szCs w:val="28"/>
          <w:lang w:eastAsia="ru-RU"/>
        </w:rPr>
        <w:t>ый</w:t>
      </w:r>
      <w:proofErr w:type="spellEnd"/>
      <w:r>
        <w:rPr>
          <w:rFonts w:eastAsia="Times New Roman"/>
          <w:szCs w:val="28"/>
          <w:lang w:eastAsia="ru-RU"/>
        </w:rPr>
        <w:t xml:space="preserve"> вид правонарушения (статья) КоАП РФ, на основании данных не менее чем за 3 года или за весь период, если он не превышает 3 года, предшествующих </w:t>
      </w:r>
      <w:r>
        <w:rPr>
          <w:rFonts w:eastAsia="Times New Roman"/>
          <w:szCs w:val="28"/>
          <w:lang w:eastAsia="ru-RU"/>
        </w:rPr>
        <w:t>текущему финансовому году;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К – коэффициент собираемости административных штрафов;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факт</m:t>
            </m:r>
          </m:e>
        </m:nary>
      </m:oMath>
      <w:r>
        <w:rPr>
          <w:rFonts w:eastAsia="Times New Roman"/>
          <w:szCs w:val="28"/>
          <w:lang w:eastAsia="ru-RU"/>
        </w:rPr>
        <w:t>- суммарный объем фактически поступивших административных штрафов на основании данных не менее чем за 3 года или за весь период, если он не превышает 3 года предшествующи</w:t>
      </w:r>
      <w:r>
        <w:rPr>
          <w:rFonts w:eastAsia="Times New Roman"/>
          <w:szCs w:val="28"/>
          <w:lang w:eastAsia="ru-RU"/>
        </w:rPr>
        <w:t>х текущему финансовому году (за исключением дебиторской задолженности);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нач</m:t>
            </m:r>
          </m:e>
        </m:nary>
      </m:oMath>
      <w:r>
        <w:rPr>
          <w:rFonts w:eastAsia="Times New Roman"/>
          <w:szCs w:val="28"/>
          <w:lang w:eastAsia="ru-RU"/>
        </w:rPr>
        <w:t xml:space="preserve"> - суммарный объем начисленных административных штрафов на основании постановлений, вступивших в законную силу, соответствующего вида правонарушения на основании данных не менее чем</w:t>
      </w:r>
      <w:r>
        <w:rPr>
          <w:rFonts w:eastAsia="Times New Roman"/>
          <w:szCs w:val="28"/>
          <w:lang w:eastAsia="ru-RU"/>
        </w:rPr>
        <w:t xml:space="preserve"> за 3 года или за весь период, если он не превышает 3 года предшествующих текущему финансовому году;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val="en-US" w:eastAsia="ru-RU"/>
        </w:rPr>
        <w:t>D</w:t>
      </w:r>
      <w:r>
        <w:rPr>
          <w:rFonts w:eastAsia="Times New Roman"/>
          <w:szCs w:val="28"/>
          <w:lang w:eastAsia="ru-RU"/>
        </w:rPr>
        <w:t xml:space="preserve"> – оценка ожидаемых результатов работы по взысканию дебиторской задолженности по доходам (при наличии такой задолженности);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>Р – разовые факторы (при налич</w:t>
      </w:r>
      <w:r>
        <w:rPr>
          <w:rFonts w:eastAsia="Times New Roman"/>
          <w:szCs w:val="28"/>
          <w:lang w:eastAsia="ru-RU"/>
        </w:rPr>
        <w:t>ии) влияющие на сумму прогнозируемых поступлений.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При расчете прогнозного объема поступлений на текущий финансовый год и плановый период используются данные за 3 года или за весь период поступления (начисления), если он не превышает 3 года, предшествующих </w:t>
      </w:r>
      <w:r>
        <w:rPr>
          <w:rFonts w:eastAsia="Times New Roman"/>
          <w:szCs w:val="28"/>
          <w:lang w:eastAsia="ru-RU"/>
        </w:rPr>
        <w:t>текущему финансовому году.</w:t>
      </w:r>
    </w:p>
    <w:p w:rsidR="000C5AE4" w:rsidRDefault="00CD0FF7">
      <w:pPr>
        <w:ind w:firstLine="709"/>
        <w:jc w:val="both"/>
        <w:rPr>
          <w:rFonts w:eastAsia="Times New Roman"/>
          <w:szCs w:val="28"/>
          <w:lang w:eastAsia="ru-RU"/>
        </w:rPr>
      </w:pPr>
      <w:r>
        <w:rPr>
          <w:rFonts w:eastAsia="Times New Roman"/>
          <w:szCs w:val="28"/>
          <w:lang w:eastAsia="ru-RU"/>
        </w:rPr>
        <w:t xml:space="preserve">Источники данных: 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Фактические поступления составили: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2022 году – 666,6 тыс. рублей.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2023 году – -36,55 тыс. рублей.</w:t>
      </w:r>
    </w:p>
    <w:p w:rsidR="000C5AE4" w:rsidRDefault="00CD0FF7">
      <w:pPr>
        <w:ind w:right="141" w:firstLine="708"/>
        <w:jc w:val="both"/>
        <w:rPr>
          <w:szCs w:val="28"/>
        </w:rPr>
      </w:pPr>
      <w:r>
        <w:rPr>
          <w:szCs w:val="28"/>
        </w:rPr>
        <w:t>в 2024 году – 0 тыс. рублей.</w:t>
      </w:r>
    </w:p>
    <w:p w:rsidR="000C5AE4" w:rsidRDefault="000C5AE4">
      <w:pPr>
        <w:ind w:right="141" w:firstLine="708"/>
        <w:jc w:val="both"/>
        <w:rPr>
          <w:szCs w:val="28"/>
        </w:rPr>
      </w:pPr>
    </w:p>
    <w:p w:rsidR="000C5AE4" w:rsidRDefault="00CD0FF7">
      <w:pPr>
        <w:ind w:right="141" w:firstLine="708"/>
        <w:jc w:val="both"/>
        <w:rPr>
          <w:szCs w:val="28"/>
          <w:lang w:eastAsia="ru-RU"/>
        </w:rPr>
      </w:pPr>
      <m:oMath>
        <m:nary>
          <m:naryPr>
            <m:chr m:val="∑"/>
            <m:subHide m:val="1"/>
            <m:supHide m:val="1"/>
            <m:ctrlPr>
              <w:rPr>
                <w:rFonts w:ascii="Cambria Math" w:hAnsi="Cambria Math"/>
              </w:rPr>
            </m:ctrlPr>
          </m:naryPr>
          <m:sub/>
          <m:sup/>
          <m:e>
            <m:r>
              <w:rPr>
                <w:rFonts w:ascii="Cambria Math" w:hAnsi="Cambria Math"/>
              </w:rPr>
              <m:t>факт</m:t>
            </m:r>
          </m:e>
        </m:nary>
      </m:oMath>
      <w:r>
        <w:rPr>
          <w:szCs w:val="28"/>
          <w:lang w:eastAsia="ru-RU"/>
        </w:rPr>
        <w:t xml:space="preserve"> =666,6 -36,55+0=630,05 тыс. рублей.</w:t>
      </w:r>
    </w:p>
    <w:p w:rsidR="000C5AE4" w:rsidRDefault="00CD0FF7">
      <w:pPr>
        <w:ind w:right="141" w:firstLine="708"/>
        <w:jc w:val="both"/>
      </w:pPr>
      <w:r>
        <w:t xml:space="preserve">∑ </w:t>
      </w:r>
      <w:proofErr w:type="spellStart"/>
      <w:r>
        <w:t>нач</w:t>
      </w:r>
      <w:proofErr w:type="spellEnd"/>
      <w:r>
        <w:t xml:space="preserve"> = 30+0+0= 30,0 тыс. руб. 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 xml:space="preserve">К= </w:t>
      </w:r>
      <w:r>
        <w:t xml:space="preserve">630,05/30,0=21,0 (применение данного коэффициента некорректно в связи с прекращением вынесения административных штрафов, начиная с 2022 года по причине отмены введенного в 2020 году ограничительного режима в связи с распространением новой </w:t>
      </w:r>
      <w:proofErr w:type="spellStart"/>
      <w:r>
        <w:t>коронавирусной</w:t>
      </w:r>
      <w:proofErr w:type="spellEnd"/>
      <w:r>
        <w:t xml:space="preserve"> ин</w:t>
      </w:r>
      <w:r>
        <w:t>фекции (COVID-19).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 w:firstLine="708"/>
        <w:jc w:val="both"/>
      </w:pPr>
      <w:r>
        <w:t>За 5 мес. 2025 года в областной бюджет средства не поступали. Оценка доходов в 2024 году составляет -200,0 тыс. рублей. В прогнозные 2026, 2027 и 2028 годы поступления доходов спрогнозировать не представляется возможным.</w:t>
      </w:r>
    </w:p>
    <w:p w:rsidR="000C5AE4" w:rsidRDefault="000C5AE4">
      <w:pPr>
        <w:ind w:firstLine="708"/>
        <w:jc w:val="both"/>
      </w:pPr>
    </w:p>
    <w:p w:rsidR="000C5AE4" w:rsidRDefault="00CD0FF7">
      <w:pPr>
        <w:ind w:right="141" w:firstLine="708"/>
        <w:jc w:val="both"/>
      </w:pPr>
      <w:r>
        <w:lastRenderedPageBreak/>
        <w:t xml:space="preserve">15. КБК 026 1 </w:t>
      </w:r>
      <w:r>
        <w:t xml:space="preserve">16 01332 01 0000 140 «Административные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</w:t>
      </w:r>
      <w:r>
        <w:t>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должностными лицами органов исполнительной власти субъектов Российской Федерации, учреждени</w:t>
      </w:r>
      <w:r>
        <w:t xml:space="preserve">ями субъектов Российской Федерации» закреплен за министерством с 9.06.2023 г. </w:t>
      </w:r>
    </w:p>
    <w:p w:rsidR="000C5AE4" w:rsidRDefault="00CD0FF7">
      <w:pPr>
        <w:ind w:right="141" w:firstLine="708"/>
        <w:jc w:val="both"/>
      </w:pPr>
      <w:r>
        <w:t>Ожидаемое поступление в 2025 году спрогнозировать не представляется возможным. В прогнозные 2026, 2027 и 2028 годы поступления доходов спрогнозировать не представляется возможны</w:t>
      </w:r>
      <w:r>
        <w:t>м.</w:t>
      </w: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2" w:firstLine="709"/>
        <w:jc w:val="both"/>
      </w:pPr>
      <w:r>
        <w:t>16. КБК 1 16 01333 01 0000 140 «Административные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</w:t>
      </w:r>
      <w:r>
        <w:t>ей продукции, а также за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прав» за</w:t>
      </w:r>
      <w:r>
        <w:t>креплен за министерством с 9.06.2023 г.</w:t>
      </w:r>
    </w:p>
    <w:p w:rsidR="000C5AE4" w:rsidRDefault="00CD0FF7">
      <w:pPr>
        <w:ind w:right="141" w:firstLine="708"/>
        <w:jc w:val="both"/>
      </w:pPr>
      <w:r>
        <w:t>Ожидаемое поступление в 2025 году спрогнозировать не представляется возможным. В прогнозные 2026, 2027 и 2028 годы поступления доходов спрогнозировать не представляется возможным.</w:t>
      </w:r>
    </w:p>
    <w:p w:rsidR="000C5AE4" w:rsidRDefault="000C5AE4">
      <w:pPr>
        <w:ind w:right="141" w:firstLine="708"/>
        <w:jc w:val="both"/>
      </w:pPr>
    </w:p>
    <w:p w:rsidR="000C5AE4" w:rsidRDefault="000C5AE4">
      <w:pPr>
        <w:ind w:right="141" w:firstLine="708"/>
        <w:jc w:val="both"/>
      </w:pPr>
    </w:p>
    <w:p w:rsidR="000C5AE4" w:rsidRDefault="000C5AE4">
      <w:pPr>
        <w:ind w:right="141" w:firstLine="708"/>
        <w:jc w:val="both"/>
      </w:pPr>
    </w:p>
    <w:p w:rsidR="000C5AE4" w:rsidRDefault="00CD0FF7">
      <w:pPr>
        <w:ind w:right="141"/>
        <w:jc w:val="both"/>
      </w:pPr>
      <w:r>
        <w:t>И. о. министра промышленности, то</w:t>
      </w:r>
      <w:r>
        <w:t>рговли и</w:t>
      </w:r>
    </w:p>
    <w:p w:rsidR="000C5AE4" w:rsidRDefault="00CD0FF7">
      <w:pPr>
        <w:ind w:right="141"/>
        <w:jc w:val="both"/>
      </w:pPr>
      <w:r>
        <w:t xml:space="preserve">развития предпринимательства </w:t>
      </w:r>
    </w:p>
    <w:p w:rsidR="000C5AE4" w:rsidRDefault="00CD0FF7">
      <w:pPr>
        <w:ind w:right="141"/>
        <w:jc w:val="both"/>
      </w:pPr>
      <w:r>
        <w:t>Новосибирской области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Д.Е. </w:t>
      </w:r>
      <w:proofErr w:type="spellStart"/>
      <w:r>
        <w:t>Рягузов</w:t>
      </w:r>
      <w:proofErr w:type="spellEnd"/>
    </w:p>
    <w:p w:rsidR="000C5AE4" w:rsidRDefault="000C5AE4">
      <w:pPr>
        <w:ind w:right="142" w:firstLine="709"/>
        <w:jc w:val="both"/>
      </w:pPr>
    </w:p>
    <w:p w:rsidR="000C5AE4" w:rsidRDefault="00CD0FF7">
      <w:pPr>
        <w:ind w:right="142" w:firstLine="709"/>
        <w:jc w:val="both"/>
      </w:pPr>
      <w:r>
        <w:rPr>
          <w:noProof/>
        </w:rPr>
        <w:drawing>
          <wp:anchor distT="0" distB="0" distL="0" distR="0" simplePos="0" relativeHeight="26" behindDoc="0" locked="0" layoutInCell="0" allowOverlap="1">
            <wp:simplePos x="0" y="0"/>
            <wp:positionH relativeFrom="page">
              <wp:posOffset>2160270</wp:posOffset>
            </wp:positionH>
            <wp:positionV relativeFrom="page">
              <wp:posOffset>7560310</wp:posOffset>
            </wp:positionV>
            <wp:extent cx="2991485" cy="1656080"/>
            <wp:effectExtent l="0" t="0" r="0" b="0"/>
            <wp:wrapNone/>
            <wp:docPr id="2" name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1485" cy="16560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0C5AE4">
      <w:pgSz w:w="11906" w:h="16838"/>
      <w:pgMar w:top="993" w:right="707" w:bottom="1134" w:left="1276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ambria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984D59"/>
    <w:multiLevelType w:val="multilevel"/>
    <w:tmpl w:val="2EB09ECC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9" w:hanging="180"/>
      </w:pPr>
    </w:lvl>
  </w:abstractNum>
  <w:abstractNum w:abstractNumId="1" w15:restartNumberingAfterBreak="0">
    <w:nsid w:val="4D933611"/>
    <w:multiLevelType w:val="multilevel"/>
    <w:tmpl w:val="C4E4D58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5AE4"/>
    <w:rsid w:val="000C5AE4"/>
    <w:rsid w:val="00CD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4880872-FC28-43FD-B3B4-5874F2BA4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36C21"/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C51B1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51B1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C51B1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qFormat/>
    <w:rsid w:val="00C51B1A"/>
    <w:rPr>
      <w:rFonts w:asciiTheme="majorHAnsi" w:eastAsiaTheme="majorEastAsia" w:hAnsiTheme="majorHAnsi" w:cstheme="majorBidi"/>
      <w:b/>
      <w:bCs/>
      <w:kern w:val="2"/>
      <w:sz w:val="32"/>
      <w:szCs w:val="32"/>
      <w:lang w:eastAsia="en-US"/>
    </w:rPr>
  </w:style>
  <w:style w:type="character" w:customStyle="1" w:styleId="20">
    <w:name w:val="Заголовок 2 Знак"/>
    <w:basedOn w:val="a0"/>
    <w:link w:val="2"/>
    <w:uiPriority w:val="9"/>
    <w:qFormat/>
    <w:rsid w:val="00C51B1A"/>
    <w:rPr>
      <w:rFonts w:asciiTheme="majorHAnsi" w:eastAsiaTheme="majorEastAsia" w:hAnsiTheme="majorHAnsi" w:cstheme="majorBidi"/>
      <w:b/>
      <w:bCs/>
      <w:i/>
      <w:iCs/>
      <w:sz w:val="28"/>
      <w:szCs w:val="28"/>
      <w:lang w:eastAsia="en-US"/>
    </w:rPr>
  </w:style>
  <w:style w:type="character" w:customStyle="1" w:styleId="30">
    <w:name w:val="Заголовок 3 Знак"/>
    <w:basedOn w:val="a0"/>
    <w:link w:val="3"/>
    <w:uiPriority w:val="9"/>
    <w:qFormat/>
    <w:rsid w:val="00C51B1A"/>
    <w:rPr>
      <w:rFonts w:asciiTheme="majorHAnsi" w:eastAsiaTheme="majorEastAsia" w:hAnsiTheme="majorHAnsi" w:cstheme="majorBidi"/>
      <w:b/>
      <w:bCs/>
      <w:sz w:val="26"/>
      <w:szCs w:val="26"/>
      <w:lang w:eastAsia="en-US"/>
    </w:rPr>
  </w:style>
  <w:style w:type="character" w:customStyle="1" w:styleId="a3">
    <w:name w:val="Текст выноски Знак"/>
    <w:basedOn w:val="a0"/>
    <w:link w:val="a4"/>
    <w:uiPriority w:val="99"/>
    <w:semiHidden/>
    <w:qFormat/>
    <w:rsid w:val="002F6E0A"/>
    <w:rPr>
      <w:rFonts w:ascii="Tahoma" w:hAnsi="Tahoma" w:cs="Tahoma"/>
      <w:sz w:val="16"/>
      <w:szCs w:val="16"/>
      <w:lang w:eastAsia="en-US"/>
    </w:rPr>
  </w:style>
  <w:style w:type="character" w:customStyle="1" w:styleId="docdata">
    <w:name w:val="docdata"/>
    <w:basedOn w:val="a0"/>
    <w:qFormat/>
    <w:rsid w:val="002A1B8A"/>
  </w:style>
  <w:style w:type="character" w:styleId="a5">
    <w:name w:val="Hyperlink"/>
    <w:rPr>
      <w:color w:val="000080"/>
      <w:u w:val="single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Mangal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  <w:rPr>
      <w:rFonts w:cs="Mangal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styleId="a9">
    <w:name w:val="No Spacing"/>
    <w:uiPriority w:val="1"/>
    <w:qFormat/>
    <w:rsid w:val="00C51B1A"/>
    <w:rPr>
      <w:sz w:val="22"/>
      <w:szCs w:val="22"/>
      <w:lang w:eastAsia="en-US"/>
    </w:rPr>
  </w:style>
  <w:style w:type="paragraph" w:styleId="a4">
    <w:name w:val="Balloon Text"/>
    <w:basedOn w:val="a"/>
    <w:link w:val="a3"/>
    <w:uiPriority w:val="99"/>
    <w:semiHidden/>
    <w:unhideWhenUsed/>
    <w:qFormat/>
    <w:rsid w:val="002F6E0A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16453C"/>
    <w:pPr>
      <w:ind w:left="720"/>
      <w:contextualSpacing/>
    </w:pPr>
  </w:style>
  <w:style w:type="paragraph" w:customStyle="1" w:styleId="Style1">
    <w:name w:val="Style1"/>
    <w:basedOn w:val="a"/>
    <w:uiPriority w:val="99"/>
    <w:qFormat/>
    <w:rsid w:val="004B50D6"/>
    <w:pPr>
      <w:widowControl w:val="0"/>
    </w:pPr>
    <w:rPr>
      <w:rFonts w:eastAsia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hyperlink" Target="https://login.consultant.ru/link/?req=doc&amp;base=LAW&amp;n=507306&amp;dst=10169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1997E58-6EF3-4E7A-AF54-F65862BC29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5150</Words>
  <Characters>29358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АГНОиПНО</Company>
  <LinksUpToDate>false</LinksUpToDate>
  <CharactersWithSpaces>34440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Редько Ирина Владимировна</dc:creator>
  <dc:description/>
  <cp:lastModifiedBy>Лесная Дарья Владимировна</cp:lastModifiedBy>
  <cp:revision>2</cp:revision>
  <cp:lastPrinted>2025-06-23T09:28:00Z</cp:lastPrinted>
  <dcterms:created xsi:type="dcterms:W3CDTF">2025-06-26T02:48:00Z</dcterms:created>
  <dcterms:modified xsi:type="dcterms:W3CDTF">2025-06-26T02:48:00Z</dcterms:modified>
  <dc:language>ru-RU</dc:language>
</cp:coreProperties>
</file>